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1B14">
      <w:pPr>
        <w:pStyle w:val="3"/>
        <w:tabs>
          <w:tab w:val="left" w:pos="8931"/>
        </w:tabs>
        <w:spacing w:before="0" w:line="360" w:lineRule="auto"/>
        <w:ind w:right="39"/>
        <w:jc w:val="center"/>
        <w:outlineLvl w:val="0"/>
        <w:rPr>
          <w:rFonts w:hint="eastAsia" w:ascii="仿宋" w:hAnsi="仿宋" w:eastAsia="仿宋"/>
          <w:b/>
          <w:sz w:val="30"/>
          <w:szCs w:val="30"/>
          <w:lang w:eastAsia="zh-CN"/>
        </w:rPr>
      </w:pPr>
      <w:bookmarkStart w:id="0" w:name="_Toc17729"/>
      <w:r>
        <w:rPr>
          <w:rFonts w:hint="eastAsia" w:ascii="仿宋" w:hAnsi="仿宋" w:eastAsia="仿宋"/>
          <w:b/>
          <w:sz w:val="30"/>
          <w:szCs w:val="30"/>
          <w:lang w:eastAsia="zh-CN"/>
        </w:rPr>
        <w:t>庄河市2025年度第1批次土地征收成片开发方案的解读</w:t>
      </w:r>
    </w:p>
    <w:p w14:paraId="1AD2F5FA">
      <w:pPr>
        <w:pStyle w:val="3"/>
        <w:tabs>
          <w:tab w:val="left" w:pos="8931"/>
        </w:tabs>
        <w:spacing w:before="0" w:line="360" w:lineRule="auto"/>
        <w:ind w:right="39"/>
        <w:outlineLvl w:val="0"/>
        <w:rPr>
          <w:rFonts w:ascii="仿宋" w:hAnsi="仿宋" w:eastAsia="仿宋"/>
          <w:b/>
          <w:sz w:val="30"/>
          <w:szCs w:val="30"/>
          <w:lang w:eastAsia="zh-CN"/>
        </w:rPr>
      </w:pPr>
      <w:r>
        <w:rPr>
          <w:rFonts w:hint="eastAsia" w:ascii="仿宋" w:hAnsi="仿宋" w:eastAsia="仿宋"/>
          <w:b/>
          <w:sz w:val="30"/>
          <w:szCs w:val="30"/>
          <w:lang w:eastAsia="zh-CN"/>
        </w:rPr>
        <w:t>一、编制背景</w:t>
      </w:r>
      <w:bookmarkEnd w:id="0"/>
    </w:p>
    <w:p w14:paraId="41C0ECB8">
      <w:pPr>
        <w:pStyle w:val="3"/>
        <w:keepNext w:val="0"/>
        <w:keepLines w:val="0"/>
        <w:pageBreakBefore w:val="0"/>
        <w:widowControl w:val="0"/>
        <w:shd w:val="clear"/>
        <w:tabs>
          <w:tab w:val="left" w:pos="8931"/>
        </w:tabs>
        <w:kinsoku/>
        <w:wordWrap/>
        <w:overflowPunct/>
        <w:topLinePunct w:val="0"/>
        <w:autoSpaceDE/>
        <w:autoSpaceDN/>
        <w:bidi w:val="0"/>
        <w:adjustRightInd/>
        <w:snapToGrid/>
        <w:spacing w:before="0" w:line="360" w:lineRule="auto"/>
        <w:ind w:left="0" w:leftChars="0" w:right="0" w:firstLine="560" w:firstLineChars="200"/>
        <w:textAlignment w:val="auto"/>
        <w:outlineLvl w:val="9"/>
        <w:rPr>
          <w:rFonts w:hint="default" w:ascii="Times New Roman" w:hAnsi="Times New Roman" w:eastAsia="仿宋" w:cstheme="minorBidi"/>
          <w:color w:val="auto"/>
          <w:spacing w:val="0"/>
          <w:w w:val="100"/>
          <w:kern w:val="0"/>
          <w:sz w:val="28"/>
          <w:szCs w:val="28"/>
          <w:highlight w:val="none"/>
          <w:lang w:val="en-US" w:eastAsia="zh-CN" w:bidi="ar-SA"/>
        </w:rPr>
      </w:pPr>
      <w:bookmarkStart w:id="1" w:name="_Toc7487"/>
      <w:r>
        <w:rPr>
          <w:rFonts w:hint="default" w:ascii="Times New Roman" w:hAnsi="Times New Roman" w:eastAsia="仿宋" w:cstheme="minorBidi"/>
          <w:color w:val="auto"/>
          <w:spacing w:val="0"/>
          <w:w w:val="100"/>
          <w:kern w:val="0"/>
          <w:sz w:val="28"/>
          <w:szCs w:val="28"/>
          <w:highlight w:val="none"/>
          <w:lang w:val="en-US" w:eastAsia="zh-CN" w:bidi="ar-SA"/>
        </w:rPr>
        <w:t>2020年1月1日正式施行的《中华人民共和国土地管理法》第四十五条采用列举方式明确了属于公共利益可以征收土地的六种情形，其中第五种情形规定：</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在土地利用总体规划确定的城镇建设用地范围内，经省级以上人民政府批准由县级以上人民政府组织实施的成片开发建设需要用地的，可以依法对农民集体所有的土地实施征收。</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同时规定，成片开发应当符合国务院自然资源主管部门规定的标准。202</w:t>
      </w:r>
      <w:r>
        <w:rPr>
          <w:rFonts w:hint="eastAsia" w:ascii="Times New Roman" w:hAnsi="Times New Roman" w:eastAsia="仿宋" w:cstheme="minorBidi"/>
          <w:color w:val="auto"/>
          <w:spacing w:val="0"/>
          <w:w w:val="100"/>
          <w:kern w:val="0"/>
          <w:sz w:val="28"/>
          <w:szCs w:val="28"/>
          <w:highlight w:val="none"/>
          <w:lang w:val="en-US" w:eastAsia="zh-CN" w:bidi="ar-SA"/>
        </w:rPr>
        <w:t>3</w:t>
      </w:r>
      <w:r>
        <w:rPr>
          <w:rFonts w:hint="default" w:ascii="Times New Roman" w:hAnsi="Times New Roman" w:eastAsia="仿宋" w:cstheme="minorBidi"/>
          <w:color w:val="auto"/>
          <w:spacing w:val="0"/>
          <w:w w:val="100"/>
          <w:kern w:val="0"/>
          <w:sz w:val="28"/>
          <w:szCs w:val="28"/>
          <w:highlight w:val="none"/>
          <w:lang w:val="en-US" w:eastAsia="zh-CN" w:bidi="ar-SA"/>
        </w:rPr>
        <w:t>年1</w:t>
      </w:r>
      <w:r>
        <w:rPr>
          <w:rFonts w:hint="eastAsia" w:ascii="Times New Roman" w:hAnsi="Times New Roman" w:eastAsia="仿宋" w:cstheme="minorBidi"/>
          <w:color w:val="auto"/>
          <w:spacing w:val="0"/>
          <w:w w:val="100"/>
          <w:kern w:val="0"/>
          <w:sz w:val="28"/>
          <w:szCs w:val="28"/>
          <w:highlight w:val="none"/>
          <w:lang w:val="en-US" w:eastAsia="zh-CN" w:bidi="ar-SA"/>
        </w:rPr>
        <w:t>0</w:t>
      </w:r>
      <w:r>
        <w:rPr>
          <w:rFonts w:hint="default" w:ascii="Times New Roman" w:hAnsi="Times New Roman" w:eastAsia="仿宋" w:cstheme="minorBidi"/>
          <w:color w:val="auto"/>
          <w:spacing w:val="0"/>
          <w:w w:val="100"/>
          <w:kern w:val="0"/>
          <w:sz w:val="28"/>
          <w:szCs w:val="28"/>
          <w:highlight w:val="none"/>
          <w:lang w:val="en-US" w:eastAsia="zh-CN" w:bidi="ar-SA"/>
        </w:rPr>
        <w:t>月</w:t>
      </w:r>
      <w:r>
        <w:rPr>
          <w:rFonts w:hint="eastAsia" w:ascii="Times New Roman" w:hAnsi="Times New Roman" w:eastAsia="仿宋" w:cstheme="minorBidi"/>
          <w:color w:val="auto"/>
          <w:spacing w:val="0"/>
          <w:w w:val="100"/>
          <w:kern w:val="0"/>
          <w:sz w:val="28"/>
          <w:szCs w:val="28"/>
          <w:highlight w:val="none"/>
          <w:lang w:val="en-US" w:eastAsia="zh-CN" w:bidi="ar-SA"/>
        </w:rPr>
        <w:t>31</w:t>
      </w:r>
      <w:r>
        <w:rPr>
          <w:rFonts w:hint="default" w:ascii="Times New Roman" w:hAnsi="Times New Roman" w:eastAsia="仿宋" w:cstheme="minorBidi"/>
          <w:color w:val="auto"/>
          <w:spacing w:val="0"/>
          <w:w w:val="100"/>
          <w:kern w:val="0"/>
          <w:sz w:val="28"/>
          <w:szCs w:val="28"/>
          <w:highlight w:val="none"/>
          <w:lang w:val="en-US" w:eastAsia="zh-CN" w:bidi="ar-SA"/>
        </w:rPr>
        <w:t>日</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自然资源部印发</w:t>
      </w:r>
      <w:r>
        <w:rPr>
          <w:rFonts w:hint="eastAsia" w:ascii="Times New Roman" w:hAnsi="Times New Roman" w:eastAsia="仿宋" w:cstheme="minorBidi"/>
          <w:color w:val="auto"/>
          <w:spacing w:val="0"/>
          <w:w w:val="100"/>
          <w:kern w:val="0"/>
          <w:sz w:val="28"/>
          <w:szCs w:val="28"/>
          <w:highlight w:val="none"/>
          <w:lang w:val="en-US" w:eastAsia="zh-CN" w:bidi="ar-SA"/>
        </w:rPr>
        <w:t>了</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stheme="minorBidi"/>
          <w:color w:val="auto"/>
          <w:spacing w:val="-2"/>
          <w:kern w:val="0"/>
          <w:sz w:val="28"/>
          <w:szCs w:val="28"/>
          <w:highlight w:val="none"/>
          <w:lang w:val="en-US" w:eastAsia="zh-CN" w:bidi="ar-SA"/>
        </w:rPr>
        <w:t>自然资源部关于印发&lt;</w:t>
      </w:r>
      <w:r>
        <w:rPr>
          <w:rFonts w:hint="default" w:ascii="Times New Roman" w:hAnsi="Times New Roman" w:eastAsia="仿宋" w:cstheme="minorBidi"/>
          <w:color w:val="auto"/>
          <w:spacing w:val="-2"/>
          <w:kern w:val="0"/>
          <w:sz w:val="28"/>
          <w:szCs w:val="28"/>
          <w:highlight w:val="none"/>
          <w:lang w:val="en-US" w:eastAsia="zh-CN" w:bidi="ar-SA"/>
        </w:rPr>
        <w:t>土地征收成片开发标准</w:t>
      </w:r>
      <w:r>
        <w:rPr>
          <w:rFonts w:hint="eastAsia" w:ascii="Times New Roman" w:hAnsi="Times New Roman" w:eastAsia="仿宋" w:cstheme="minorBidi"/>
          <w:color w:val="auto"/>
          <w:spacing w:val="-2"/>
          <w:kern w:val="0"/>
          <w:sz w:val="28"/>
          <w:szCs w:val="28"/>
          <w:highlight w:val="none"/>
          <w:lang w:val="en-US" w:eastAsia="zh-CN" w:bidi="ar-SA"/>
        </w:rPr>
        <w:t>&gt;的通知</w:t>
      </w:r>
      <w:r>
        <w:rPr>
          <w:rFonts w:hint="eastAsia" w:ascii="Times New Roman" w:hAnsi="Times New Roman" w:eastAsia="仿宋"/>
          <w:color w:val="auto"/>
          <w:spacing w:val="0"/>
          <w:w w:val="100"/>
          <w:highlight w:val="none"/>
          <w:lang w:eastAsia="zh-CN"/>
        </w:rPr>
        <w:t>》</w:t>
      </w:r>
      <w:r>
        <w:rPr>
          <w:rFonts w:hint="default" w:ascii="Times New Roman" w:hAnsi="Times New Roman" w:eastAsia="仿宋" w:cstheme="minorBidi"/>
          <w:color w:val="auto"/>
          <w:spacing w:val="-2"/>
          <w:kern w:val="0"/>
          <w:sz w:val="28"/>
          <w:szCs w:val="28"/>
          <w:highlight w:val="none"/>
          <w:lang w:val="en-US" w:eastAsia="zh-CN" w:bidi="ar-SA"/>
        </w:rPr>
        <w:t>（自然资规〔2023〕7 号）</w:t>
      </w:r>
      <w:r>
        <w:rPr>
          <w:rFonts w:hint="default" w:ascii="Times New Roman" w:hAnsi="Times New Roman" w:eastAsia="仿宋" w:cstheme="minorBidi"/>
          <w:color w:val="auto"/>
          <w:spacing w:val="0"/>
          <w:w w:val="100"/>
          <w:kern w:val="0"/>
          <w:sz w:val="28"/>
          <w:szCs w:val="28"/>
          <w:highlight w:val="none"/>
          <w:lang w:val="en-US" w:eastAsia="zh-CN" w:bidi="ar-SA"/>
        </w:rPr>
        <w:t>（以下简称《标准》）</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对土地征收成片开发的含义、原则、程序等基本内容进行了明确。为进一步贯彻自然资源部印发的《标准》精神，202</w:t>
      </w:r>
      <w:r>
        <w:rPr>
          <w:rFonts w:hint="eastAsia" w:ascii="Times New Roman" w:hAnsi="Times New Roman" w:eastAsia="仿宋" w:cstheme="minorBidi"/>
          <w:color w:val="auto"/>
          <w:spacing w:val="0"/>
          <w:w w:val="100"/>
          <w:kern w:val="0"/>
          <w:sz w:val="28"/>
          <w:szCs w:val="28"/>
          <w:highlight w:val="none"/>
          <w:lang w:val="en-US" w:eastAsia="zh-CN" w:bidi="ar-SA"/>
        </w:rPr>
        <w:t>4</w:t>
      </w:r>
      <w:r>
        <w:rPr>
          <w:rFonts w:hint="default" w:ascii="Times New Roman" w:hAnsi="Times New Roman" w:eastAsia="仿宋" w:cstheme="minorBidi"/>
          <w:color w:val="auto"/>
          <w:spacing w:val="0"/>
          <w:w w:val="100"/>
          <w:kern w:val="0"/>
          <w:sz w:val="28"/>
          <w:szCs w:val="28"/>
          <w:highlight w:val="none"/>
          <w:lang w:val="en-US" w:eastAsia="zh-CN" w:bidi="ar-SA"/>
        </w:rPr>
        <w:t>年</w:t>
      </w:r>
      <w:r>
        <w:rPr>
          <w:rFonts w:hint="eastAsia" w:ascii="Times New Roman" w:hAnsi="Times New Roman" w:eastAsia="仿宋" w:cstheme="minorBidi"/>
          <w:color w:val="auto"/>
          <w:spacing w:val="0"/>
          <w:w w:val="100"/>
          <w:kern w:val="0"/>
          <w:sz w:val="28"/>
          <w:szCs w:val="28"/>
          <w:highlight w:val="none"/>
          <w:lang w:val="en-US" w:eastAsia="zh-CN" w:bidi="ar-SA"/>
        </w:rPr>
        <w:t>3</w:t>
      </w:r>
      <w:r>
        <w:rPr>
          <w:rFonts w:hint="default" w:ascii="Times New Roman" w:hAnsi="Times New Roman" w:eastAsia="仿宋" w:cstheme="minorBidi"/>
          <w:color w:val="auto"/>
          <w:spacing w:val="0"/>
          <w:w w:val="100"/>
          <w:kern w:val="0"/>
          <w:sz w:val="28"/>
          <w:szCs w:val="28"/>
          <w:highlight w:val="none"/>
          <w:lang w:val="en-US" w:eastAsia="zh-CN" w:bidi="ar-SA"/>
        </w:rPr>
        <w:t>月</w:t>
      </w:r>
      <w:r>
        <w:rPr>
          <w:rFonts w:hint="eastAsia" w:ascii="Times New Roman" w:hAnsi="Times New Roman" w:eastAsia="仿宋" w:cstheme="minorBidi"/>
          <w:color w:val="auto"/>
          <w:spacing w:val="0"/>
          <w:w w:val="100"/>
          <w:kern w:val="0"/>
          <w:sz w:val="28"/>
          <w:szCs w:val="28"/>
          <w:highlight w:val="none"/>
          <w:lang w:val="en-US" w:eastAsia="zh-CN" w:bidi="ar-SA"/>
        </w:rPr>
        <w:t>12</w:t>
      </w:r>
      <w:r>
        <w:rPr>
          <w:rFonts w:hint="default" w:ascii="Times New Roman" w:hAnsi="Times New Roman" w:eastAsia="仿宋" w:cstheme="minorBidi"/>
          <w:color w:val="auto"/>
          <w:spacing w:val="0"/>
          <w:w w:val="100"/>
          <w:kern w:val="0"/>
          <w:sz w:val="28"/>
          <w:szCs w:val="28"/>
          <w:highlight w:val="none"/>
          <w:lang w:val="en-US" w:eastAsia="zh-CN" w:bidi="ar-SA"/>
        </w:rPr>
        <w:t>日辽宁省自然资源厅发布了</w:t>
      </w:r>
      <w:r>
        <w:rPr>
          <w:rFonts w:hint="eastAsia" w:ascii="Times New Roman" w:hAnsi="Times New Roman" w:eastAsia="仿宋" w:cstheme="minorBidi"/>
          <w:color w:val="auto"/>
          <w:spacing w:val="0"/>
          <w:w w:val="100"/>
          <w:kern w:val="0"/>
          <w:sz w:val="28"/>
          <w:szCs w:val="28"/>
          <w:highlight w:val="none"/>
          <w:lang w:val="en-US" w:eastAsia="zh-CN" w:bidi="ar-SA"/>
        </w:rPr>
        <w:t>《辽宁省自然资源厅关于进一步加强和改进土地征收成片开发工作的通知》（辽自然资发〔2024〕24号），</w:t>
      </w:r>
      <w:r>
        <w:rPr>
          <w:rFonts w:hint="default" w:ascii="Times New Roman" w:hAnsi="Times New Roman" w:eastAsia="仿宋" w:cstheme="minorBidi"/>
          <w:color w:val="auto"/>
          <w:spacing w:val="0"/>
          <w:w w:val="100"/>
          <w:kern w:val="0"/>
          <w:sz w:val="28"/>
          <w:szCs w:val="28"/>
          <w:highlight w:val="none"/>
          <w:lang w:val="en-US" w:eastAsia="zh-CN" w:bidi="ar-SA"/>
        </w:rPr>
        <w:t>要求各地政府要充分认识开展土地征收成片开发工作是落实国民经济和社会发展年度计划，促进地方经济整体协调发展的有力手段。</w:t>
      </w:r>
    </w:p>
    <w:p w14:paraId="24D5E25D">
      <w:pPr>
        <w:pStyle w:val="3"/>
        <w:tabs>
          <w:tab w:val="left" w:pos="8931"/>
        </w:tabs>
        <w:spacing w:before="0" w:line="360" w:lineRule="auto"/>
        <w:ind w:right="39" w:firstLine="552" w:firstLineChars="200"/>
        <w:outlineLvl w:val="9"/>
        <w:rPr>
          <w:rFonts w:hint="eastAsia" w:ascii="仿宋" w:hAnsi="仿宋" w:eastAsia="仿宋"/>
          <w:b/>
          <w:sz w:val="30"/>
          <w:szCs w:val="30"/>
          <w:lang w:val="en-US" w:eastAsia="zh-CN"/>
        </w:rPr>
      </w:pPr>
      <w:r>
        <w:rPr>
          <w:rFonts w:hint="eastAsia" w:ascii="Times New Roman" w:hAnsi="Times New Roman" w:eastAsia="仿宋" w:cstheme="minorBidi"/>
          <w:color w:val="auto"/>
          <w:spacing w:val="-2"/>
          <w:kern w:val="0"/>
          <w:sz w:val="28"/>
          <w:szCs w:val="28"/>
          <w:highlight w:val="none"/>
          <w:lang w:val="en-US" w:eastAsia="zh-CN" w:bidi="ar-SA"/>
        </w:rPr>
        <w:t>庄河市人民政府</w:t>
      </w:r>
      <w:r>
        <w:rPr>
          <w:rFonts w:hint="default" w:ascii="Times New Roman" w:hAnsi="Times New Roman" w:eastAsia="仿宋" w:cstheme="minorBidi"/>
          <w:color w:val="auto"/>
          <w:spacing w:val="-2"/>
          <w:kern w:val="0"/>
          <w:sz w:val="28"/>
          <w:szCs w:val="28"/>
          <w:highlight w:val="none"/>
          <w:lang w:val="en-US" w:eastAsia="zh-CN" w:bidi="ar-SA"/>
        </w:rPr>
        <w:t>根据国民经济和社会发展的需要，按照《中华人民共和国土地管理法》</w:t>
      </w:r>
      <w:r>
        <w:rPr>
          <w:rFonts w:hint="eastAsia" w:ascii="Times New Roman" w:hAnsi="Times New Roman" w:eastAsia="仿宋" w:cstheme="minorBidi"/>
          <w:color w:val="auto"/>
          <w:spacing w:val="-2"/>
          <w:kern w:val="0"/>
          <w:sz w:val="28"/>
          <w:szCs w:val="28"/>
          <w:highlight w:val="none"/>
          <w:lang w:val="en-US" w:eastAsia="zh-CN" w:bidi="ar-SA"/>
        </w:rPr>
        <w:t>、</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stheme="minorBidi"/>
          <w:color w:val="auto"/>
          <w:spacing w:val="-2"/>
          <w:kern w:val="0"/>
          <w:sz w:val="28"/>
          <w:szCs w:val="28"/>
          <w:highlight w:val="none"/>
          <w:lang w:val="en-US" w:eastAsia="zh-CN" w:bidi="ar-SA"/>
        </w:rPr>
        <w:t>自然资源部关于印发&lt;</w:t>
      </w:r>
      <w:r>
        <w:rPr>
          <w:rFonts w:hint="default" w:ascii="Times New Roman" w:hAnsi="Times New Roman" w:eastAsia="仿宋" w:cstheme="minorBidi"/>
          <w:color w:val="auto"/>
          <w:spacing w:val="-2"/>
          <w:kern w:val="0"/>
          <w:sz w:val="28"/>
          <w:szCs w:val="28"/>
          <w:highlight w:val="none"/>
          <w:lang w:val="en-US" w:eastAsia="zh-CN" w:bidi="ar-SA"/>
        </w:rPr>
        <w:t>土地征收成片开发标准</w:t>
      </w:r>
      <w:r>
        <w:rPr>
          <w:rFonts w:hint="eastAsia" w:ascii="Times New Roman" w:hAnsi="Times New Roman" w:eastAsia="仿宋" w:cstheme="minorBidi"/>
          <w:color w:val="auto"/>
          <w:spacing w:val="-2"/>
          <w:kern w:val="0"/>
          <w:sz w:val="28"/>
          <w:szCs w:val="28"/>
          <w:highlight w:val="none"/>
          <w:lang w:val="en-US" w:eastAsia="zh-CN" w:bidi="ar-SA"/>
        </w:rPr>
        <w:t>&gt;的通知</w:t>
      </w:r>
      <w:r>
        <w:rPr>
          <w:rFonts w:hint="eastAsia" w:ascii="Times New Roman" w:hAnsi="Times New Roman" w:eastAsia="仿宋"/>
          <w:color w:val="auto"/>
          <w:spacing w:val="0"/>
          <w:w w:val="100"/>
          <w:highlight w:val="none"/>
          <w:lang w:eastAsia="zh-CN"/>
        </w:rPr>
        <w:t>》</w:t>
      </w:r>
      <w:r>
        <w:rPr>
          <w:rFonts w:hint="default" w:ascii="Times New Roman" w:hAnsi="Times New Roman" w:eastAsia="仿宋" w:cstheme="minorBidi"/>
          <w:color w:val="auto"/>
          <w:spacing w:val="-2"/>
          <w:kern w:val="0"/>
          <w:sz w:val="28"/>
          <w:szCs w:val="28"/>
          <w:highlight w:val="none"/>
          <w:lang w:val="en-US" w:eastAsia="zh-CN" w:bidi="ar-SA"/>
        </w:rPr>
        <w:t>（自然资规〔2023〕7 号）</w:t>
      </w:r>
      <w:r>
        <w:rPr>
          <w:rFonts w:hint="eastAsia" w:ascii="Times New Roman" w:hAnsi="Times New Roman" w:eastAsia="仿宋" w:cstheme="minorBidi"/>
          <w:color w:val="auto"/>
          <w:spacing w:val="-2"/>
          <w:kern w:val="0"/>
          <w:sz w:val="28"/>
          <w:szCs w:val="28"/>
          <w:highlight w:val="none"/>
          <w:lang w:val="en-US" w:eastAsia="zh-CN" w:bidi="ar-SA"/>
        </w:rPr>
        <w:t>、</w:t>
      </w:r>
      <w:r>
        <w:rPr>
          <w:rFonts w:hint="eastAsia" w:ascii="Times New Roman" w:hAnsi="Times New Roman" w:eastAsia="仿宋" w:cstheme="minorBidi"/>
          <w:color w:val="auto"/>
          <w:spacing w:val="0"/>
          <w:w w:val="100"/>
          <w:kern w:val="0"/>
          <w:sz w:val="28"/>
          <w:szCs w:val="28"/>
          <w:highlight w:val="none"/>
          <w:lang w:val="en-US" w:eastAsia="zh-CN" w:bidi="ar-SA"/>
        </w:rPr>
        <w:t>《辽宁省自然资源厅关于进一步加强和改进土地征收成片开发工作的通知》（辽自然资发〔2024〕24号）</w:t>
      </w:r>
      <w:r>
        <w:rPr>
          <w:rFonts w:hint="default" w:ascii="Times New Roman" w:hAnsi="Times New Roman" w:eastAsia="仿宋" w:cstheme="minorBidi"/>
          <w:color w:val="auto"/>
          <w:spacing w:val="-2"/>
          <w:kern w:val="0"/>
          <w:sz w:val="28"/>
          <w:szCs w:val="28"/>
          <w:highlight w:val="none"/>
          <w:lang w:val="en-US" w:eastAsia="zh-CN" w:bidi="ar-SA"/>
        </w:rPr>
        <w:t>等法律法规的相关规定，依据《庄河市国民经济和社会发展第十四个五年规划和二〇三五年远景目标纲要》</w:t>
      </w:r>
      <w:r>
        <w:rPr>
          <w:rFonts w:hint="eastAsia" w:ascii="Times New Roman" w:hAnsi="Times New Roman" w:eastAsia="仿宋" w:cstheme="minorBidi"/>
          <w:color w:val="auto"/>
          <w:spacing w:val="-2"/>
          <w:kern w:val="0"/>
          <w:sz w:val="28"/>
          <w:szCs w:val="28"/>
          <w:highlight w:val="none"/>
          <w:lang w:val="en-US" w:eastAsia="zh-CN" w:bidi="ar-SA"/>
        </w:rPr>
        <w:t>、</w:t>
      </w:r>
      <w:r>
        <w:rPr>
          <w:rFonts w:hint="default" w:ascii="Times New Roman" w:hAnsi="Times New Roman" w:eastAsia="仿宋" w:cstheme="minorBidi"/>
          <w:color w:val="auto"/>
          <w:spacing w:val="-2"/>
          <w:kern w:val="0"/>
          <w:sz w:val="28"/>
          <w:szCs w:val="28"/>
          <w:highlight w:val="none"/>
          <w:shd w:val="clear"/>
          <w:lang w:val="en-US" w:eastAsia="zh-CN" w:bidi="ar-SA"/>
        </w:rPr>
        <w:t>《</w:t>
      </w:r>
      <w:r>
        <w:rPr>
          <w:rFonts w:hint="eastAsia" w:ascii="Times New Roman" w:hAnsi="Times New Roman" w:eastAsia="仿宋" w:cstheme="minorBidi"/>
          <w:color w:val="auto"/>
          <w:spacing w:val="-2"/>
          <w:kern w:val="0"/>
          <w:sz w:val="28"/>
          <w:szCs w:val="28"/>
          <w:highlight w:val="none"/>
          <w:shd w:val="clear"/>
          <w:lang w:val="en-US" w:eastAsia="zh-CN" w:bidi="ar-SA"/>
        </w:rPr>
        <w:t>庄河市国土空间总体规划（2021-2035年）</w:t>
      </w:r>
      <w:r>
        <w:rPr>
          <w:rFonts w:hint="default" w:ascii="Times New Roman" w:hAnsi="Times New Roman" w:eastAsia="仿宋" w:cstheme="minorBidi"/>
          <w:color w:val="auto"/>
          <w:spacing w:val="-2"/>
          <w:kern w:val="0"/>
          <w:sz w:val="28"/>
          <w:szCs w:val="28"/>
          <w:highlight w:val="none"/>
          <w:shd w:val="clear"/>
          <w:lang w:val="en-US" w:eastAsia="zh-CN" w:bidi="ar-SA"/>
        </w:rPr>
        <w:t>》</w:t>
      </w:r>
      <w:r>
        <w:rPr>
          <w:rFonts w:hint="eastAsia" w:ascii="Times New Roman" w:hAnsi="Times New Roman" w:eastAsia="仿宋" w:cstheme="minorBidi"/>
          <w:color w:val="auto"/>
          <w:spacing w:val="-2"/>
          <w:kern w:val="0"/>
          <w:sz w:val="28"/>
          <w:szCs w:val="28"/>
          <w:highlight w:val="none"/>
          <w:shd w:val="clear"/>
          <w:lang w:val="en-US" w:eastAsia="zh-CN" w:bidi="ar-SA"/>
        </w:rPr>
        <w:t>、《兰店乡国土空间总体规划（2021-2035年）》</w:t>
      </w:r>
      <w:r>
        <w:rPr>
          <w:rFonts w:hint="eastAsia" w:ascii="Times New Roman" w:hAnsi="Times New Roman" w:eastAsia="仿宋" w:cstheme="minorBidi"/>
          <w:color w:val="auto"/>
          <w:spacing w:val="-2"/>
          <w:kern w:val="0"/>
          <w:sz w:val="28"/>
          <w:szCs w:val="28"/>
          <w:highlight w:val="none"/>
          <w:lang w:val="en-US" w:eastAsia="zh-CN" w:bidi="ar-SA"/>
        </w:rPr>
        <w:t>，</w:t>
      </w:r>
      <w:r>
        <w:rPr>
          <w:rFonts w:hint="default" w:ascii="Times New Roman" w:hAnsi="Times New Roman" w:eastAsia="仿宋" w:cstheme="minorBidi"/>
          <w:color w:val="auto"/>
          <w:spacing w:val="-2"/>
          <w:kern w:val="0"/>
          <w:sz w:val="28"/>
          <w:szCs w:val="28"/>
          <w:highlight w:val="none"/>
          <w:lang w:val="en-US" w:eastAsia="zh-CN" w:bidi="ar-SA"/>
        </w:rPr>
        <w:t>庄河市人民政府</w:t>
      </w:r>
      <w:r>
        <w:rPr>
          <w:rFonts w:hint="default" w:ascii="Times New Roman" w:hAnsi="Times New Roman" w:eastAsia="仿宋" w:cstheme="minorBidi"/>
          <w:color w:val="auto"/>
          <w:spacing w:val="0"/>
          <w:w w:val="100"/>
          <w:kern w:val="0"/>
          <w:sz w:val="28"/>
          <w:szCs w:val="28"/>
          <w:highlight w:val="none"/>
          <w:lang w:val="en-US" w:eastAsia="zh-CN" w:bidi="ar-SA"/>
        </w:rPr>
        <w:t>组织编制《庄河市</w:t>
      </w:r>
      <w:r>
        <w:rPr>
          <w:rFonts w:hint="eastAsia" w:ascii="Times New Roman" w:hAnsi="Times New Roman" w:eastAsia="仿宋" w:cstheme="minorBidi"/>
          <w:color w:val="auto"/>
          <w:spacing w:val="0"/>
          <w:w w:val="100"/>
          <w:kern w:val="0"/>
          <w:sz w:val="28"/>
          <w:szCs w:val="28"/>
          <w:highlight w:val="none"/>
          <w:lang w:val="en-US" w:eastAsia="zh-CN" w:bidi="ar-SA"/>
        </w:rPr>
        <w:t>2025年度第1批次</w:t>
      </w:r>
      <w:r>
        <w:rPr>
          <w:rFonts w:hint="default" w:ascii="Times New Roman" w:hAnsi="Times New Roman" w:eastAsia="仿宋" w:cstheme="minorBidi"/>
          <w:color w:val="auto"/>
          <w:spacing w:val="0"/>
          <w:w w:val="100"/>
          <w:kern w:val="0"/>
          <w:sz w:val="28"/>
          <w:szCs w:val="28"/>
          <w:highlight w:val="none"/>
          <w:lang w:val="en-US" w:eastAsia="zh-CN" w:bidi="ar-SA"/>
        </w:rPr>
        <w:t>土地征收成片开发方案》，以下简称《方案》</w:t>
      </w:r>
      <w:r>
        <w:rPr>
          <w:rFonts w:hint="default" w:ascii="仿宋" w:hAnsi="仿宋" w:eastAsia="仿宋" w:cstheme="minorBidi"/>
          <w:spacing w:val="-2"/>
          <w:kern w:val="0"/>
          <w:sz w:val="28"/>
          <w:szCs w:val="28"/>
          <w:lang w:val="en-US" w:eastAsia="zh-CN" w:bidi="ar-SA"/>
        </w:rPr>
        <w:t>。</w:t>
      </w:r>
    </w:p>
    <w:p w14:paraId="72EB4B14">
      <w:pPr>
        <w:pStyle w:val="3"/>
        <w:tabs>
          <w:tab w:val="left" w:pos="8931"/>
        </w:tabs>
        <w:spacing w:before="0" w:line="360" w:lineRule="auto"/>
        <w:ind w:right="39"/>
        <w:outlineLvl w:val="0"/>
        <w:rPr>
          <w:rFonts w:hint="eastAsia" w:ascii="仿宋" w:hAnsi="仿宋" w:eastAsia="仿宋"/>
          <w:b/>
          <w:sz w:val="30"/>
          <w:szCs w:val="30"/>
          <w:lang w:val="en-US" w:eastAsia="zh-CN"/>
        </w:rPr>
      </w:pPr>
    </w:p>
    <w:p w14:paraId="0D666D72">
      <w:pPr>
        <w:pStyle w:val="3"/>
        <w:tabs>
          <w:tab w:val="left" w:pos="8931"/>
        </w:tabs>
        <w:spacing w:before="0" w:line="360" w:lineRule="auto"/>
        <w:ind w:right="39"/>
        <w:outlineLvl w:val="0"/>
        <w:rPr>
          <w:rFonts w:hint="eastAsia" w:ascii="仿宋" w:hAnsi="仿宋" w:eastAsia="仿宋"/>
          <w:b/>
          <w:sz w:val="30"/>
          <w:szCs w:val="30"/>
          <w:lang w:val="en-US" w:eastAsia="zh-CN"/>
        </w:rPr>
      </w:pPr>
      <w:r>
        <w:rPr>
          <w:rFonts w:hint="eastAsia" w:ascii="仿宋" w:hAnsi="仿宋" w:eastAsia="仿宋"/>
          <w:b/>
          <w:sz w:val="30"/>
          <w:szCs w:val="30"/>
          <w:lang w:val="en-US" w:eastAsia="zh-CN"/>
        </w:rPr>
        <w:t>二、成片开发范围基本情况</w:t>
      </w:r>
      <w:bookmarkEnd w:id="1"/>
    </w:p>
    <w:p w14:paraId="1AACA024">
      <w:pPr>
        <w:pStyle w:val="3"/>
        <w:numPr>
          <w:ilvl w:val="0"/>
          <w:numId w:val="1"/>
        </w:numPr>
        <w:spacing w:before="0" w:line="360" w:lineRule="auto"/>
        <w:ind w:left="440" w:leftChars="0" w:right="14" w:rightChars="0" w:firstLine="0" w:firstLineChars="0"/>
        <w:outlineLvl w:val="9"/>
        <w:rPr>
          <w:rFonts w:hint="eastAsia" w:ascii="仿宋" w:hAnsi="仿宋" w:eastAsia="仿宋"/>
          <w:lang w:val="en-US" w:eastAsia="zh-CN"/>
        </w:rPr>
      </w:pPr>
      <w:r>
        <w:rPr>
          <w:rFonts w:hint="eastAsia" w:ascii="仿宋" w:hAnsi="仿宋" w:eastAsia="仿宋"/>
          <w:lang w:val="en-US" w:eastAsia="zh-CN"/>
        </w:rPr>
        <w:t>成片开发范围区位分析</w:t>
      </w:r>
    </w:p>
    <w:p w14:paraId="08CE9F47">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560" w:firstLineChars="200"/>
        <w:jc w:val="left"/>
        <w:textAlignment w:val="auto"/>
        <w:outlineLvl w:val="9"/>
        <w:rPr>
          <w:rFonts w:ascii="仿宋" w:hAnsi="仿宋" w:eastAsia="仿宋"/>
          <w:lang w:eastAsia="zh-CN"/>
        </w:rPr>
      </w:pPr>
      <w:r>
        <w:rPr>
          <w:rFonts w:hint="eastAsia" w:ascii="Times New Roman" w:hAnsi="Times New Roman" w:eastAsia="仿宋" w:cstheme="minorBidi"/>
          <w:spacing w:val="0"/>
          <w:w w:val="100"/>
          <w:kern w:val="0"/>
          <w:sz w:val="28"/>
          <w:szCs w:val="28"/>
          <w:highlight w:val="none"/>
          <w:lang w:val="en-US" w:eastAsia="zh-CN" w:bidi="ar-SA"/>
        </w:rPr>
        <w:t>项目用地位于庄河市兰店乡解放村、元和村，距离庄河市直线距离约10公里、距离兰店乡中心约4公里。项目紧邻解金线，并通过解金线、兰黄线实现与鹤大高速、G201、滨海公路等区域对外骨干交通连接，交通出行较为便捷</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eastAsia" w:ascii="Times New Roman" w:hAnsi="Times New Roman" w:eastAsia="仿宋" w:cstheme="minorBidi"/>
          <w:spacing w:val="0"/>
          <w:w w:val="100"/>
          <w:kern w:val="0"/>
          <w:sz w:val="28"/>
          <w:szCs w:val="28"/>
          <w:highlight w:val="none"/>
          <w:lang w:val="en-US" w:eastAsia="zh-CN" w:bidi="ar-SA"/>
        </w:rPr>
        <w:t>拟建设工业项目，项目用地南侧为一期已建成运营项目，依托已有的基础设施，实现土地节约集约利用</w:t>
      </w:r>
      <w:r>
        <w:rPr>
          <w:rFonts w:hint="eastAsia" w:ascii="仿宋" w:hAnsi="仿宋" w:eastAsia="仿宋" w:cstheme="minorBidi"/>
          <w:spacing w:val="-2"/>
          <w:kern w:val="0"/>
          <w:sz w:val="28"/>
          <w:szCs w:val="28"/>
          <w:shd w:val="clear"/>
          <w:lang w:val="en-US" w:eastAsia="zh-CN" w:bidi="ar-SA"/>
        </w:rPr>
        <w:t>。</w:t>
      </w:r>
      <w:r>
        <w:rPr>
          <w:rFonts w:hint="eastAsia" w:ascii="Times New Roman" w:hAnsi="Times New Roman" w:eastAsia="仿宋"/>
          <w:color w:val="auto"/>
          <w:spacing w:val="0"/>
          <w:w w:val="100"/>
          <w:highlight w:val="none"/>
          <w:lang w:val="en-US" w:eastAsia="zh-CN"/>
        </w:rPr>
        <w:drawing>
          <wp:inline distT="0" distB="0" distL="114300" distR="114300">
            <wp:extent cx="5677535" cy="4018915"/>
            <wp:effectExtent l="0" t="0" r="18415" b="635"/>
            <wp:docPr id="5" name="图片 5" descr="E:/土地征收成片开发/2025年度土地征收成片开发/2025年度第1批次金来矿业/5.图件/开发范围影像图.jpg开发范围影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土地征收成片开发/2025年度土地征收成片开发/2025年度第1批次金来矿业/5.图件/开发范围影像图.jpg开发范围影像图"/>
                    <pic:cNvPicPr>
                      <a:picLocks noChangeAspect="1"/>
                    </pic:cNvPicPr>
                  </pic:nvPicPr>
                  <pic:blipFill>
                    <a:blip r:embed="rId6"/>
                    <a:srcRect l="24" r="24"/>
                    <a:stretch>
                      <a:fillRect/>
                    </a:stretch>
                  </pic:blipFill>
                  <pic:spPr>
                    <a:xfrm>
                      <a:off x="0" y="0"/>
                      <a:ext cx="5677535" cy="4018915"/>
                    </a:xfrm>
                    <a:prstGeom prst="rect">
                      <a:avLst/>
                    </a:prstGeom>
                  </pic:spPr>
                </pic:pic>
              </a:graphicData>
            </a:graphic>
          </wp:inline>
        </w:drawing>
      </w:r>
    </w:p>
    <w:p w14:paraId="40692F2F">
      <w:pPr>
        <w:pStyle w:val="3"/>
        <w:widowControl w:val="0"/>
        <w:numPr>
          <w:ilvl w:val="0"/>
          <w:numId w:val="0"/>
        </w:numPr>
        <w:shd w:val="clear"/>
        <w:spacing w:before="0" w:line="360" w:lineRule="auto"/>
        <w:ind w:left="-440" w:leftChars="-200" w:right="14" w:rightChars="0" w:firstLine="0" w:firstLineChars="0"/>
        <w:jc w:val="center"/>
        <w:outlineLvl w:val="9"/>
        <w:rPr>
          <w:rFonts w:hint="eastAsia" w:ascii="Times New Roman" w:hAnsi="Times New Roman" w:eastAsia="仿宋"/>
          <w:color w:val="auto"/>
          <w:spacing w:val="-14"/>
          <w:highlight w:val="none"/>
          <w:lang w:val="en-US" w:eastAsia="zh-CN"/>
        </w:rPr>
        <w:sectPr>
          <w:footerReference r:id="rId3" w:type="default"/>
          <w:pgSz w:w="11910" w:h="16840"/>
          <w:pgMar w:top="1480" w:right="1340" w:bottom="1020" w:left="1600" w:header="850" w:footer="831"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黑体" w:cs="黑体"/>
          <w:color w:val="auto"/>
          <w:sz w:val="24"/>
          <w:szCs w:val="24"/>
          <w:highlight w:val="none"/>
          <w:lang w:val="en-US" w:eastAsia="zh-CN"/>
        </w:rPr>
        <w:t xml:space="preserve">图1    </w:t>
      </w:r>
      <w:r>
        <w:rPr>
          <w:rFonts w:hint="eastAsia" w:ascii="Times New Roman" w:hAnsi="Times New Roman" w:eastAsia="黑体" w:cs="黑体"/>
          <w:color w:val="auto"/>
          <w:sz w:val="24"/>
          <w:szCs w:val="24"/>
          <w:highlight w:val="none"/>
          <w:lang w:eastAsia="zh-CN"/>
        </w:rPr>
        <w:t>庄河市2025年度第1批次</w:t>
      </w:r>
      <w:r>
        <w:rPr>
          <w:rFonts w:hint="eastAsia" w:ascii="Times New Roman" w:hAnsi="Times New Roman" w:eastAsia="黑体" w:cs="黑体"/>
          <w:color w:val="auto"/>
          <w:sz w:val="24"/>
          <w:szCs w:val="24"/>
          <w:highlight w:val="none"/>
          <w:lang w:val="en-US" w:eastAsia="zh-CN"/>
        </w:rPr>
        <w:t>范围图</w:t>
      </w:r>
    </w:p>
    <w:p w14:paraId="192C8273">
      <w:pPr>
        <w:pStyle w:val="3"/>
        <w:numPr>
          <w:ilvl w:val="0"/>
          <w:numId w:val="1"/>
        </w:numPr>
        <w:spacing w:before="0" w:line="360" w:lineRule="auto"/>
        <w:ind w:left="440" w:leftChars="0" w:right="14" w:firstLine="0" w:firstLineChars="0"/>
        <w:outlineLvl w:val="9"/>
        <w:rPr>
          <w:rFonts w:ascii="仿宋" w:hAnsi="仿宋" w:eastAsia="仿宋"/>
          <w:color w:val="auto"/>
          <w:lang w:eastAsia="zh-CN"/>
        </w:rPr>
      </w:pPr>
      <w:r>
        <w:rPr>
          <w:rFonts w:ascii="仿宋" w:hAnsi="仿宋" w:eastAsia="仿宋"/>
          <w:color w:val="auto"/>
          <w:lang w:eastAsia="zh-CN"/>
        </w:rPr>
        <w:t xml:space="preserve">土地利用现状情况 </w:t>
      </w:r>
    </w:p>
    <w:tbl>
      <w:tblPr>
        <w:tblStyle w:val="7"/>
        <w:tblW w:w="8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4"/>
        <w:gridCol w:w="1344"/>
        <w:gridCol w:w="1804"/>
        <w:gridCol w:w="1783"/>
        <w:gridCol w:w="1597"/>
        <w:gridCol w:w="163"/>
      </w:tblGrid>
      <w:tr w14:paraId="2519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 w:type="dxa"/>
          <w:trHeight w:val="353" w:hRule="atLeast"/>
          <w:jc w:val="center"/>
        </w:trPr>
        <w:tc>
          <w:tcPr>
            <w:tcW w:w="7872" w:type="dxa"/>
            <w:gridSpan w:val="5"/>
            <w:tcBorders>
              <w:top w:val="nil"/>
              <w:left w:val="nil"/>
              <w:bottom w:val="nil"/>
              <w:right w:val="nil"/>
            </w:tcBorders>
            <w:shd w:val="clear" w:color="auto" w:fill="auto"/>
            <w:noWrap/>
            <w:vAlign w:val="center"/>
          </w:tcPr>
          <w:p w14:paraId="012A1713">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center"/>
              <w:textAlignment w:val="auto"/>
              <w:rPr>
                <w:rFonts w:hint="eastAsia" w:ascii="Times New Roman" w:hAnsi="Times New Roman" w:eastAsia="黑体"/>
                <w:color w:val="auto"/>
                <w:sz w:val="18"/>
                <w:szCs w:val="18"/>
                <w:highlight w:val="none"/>
                <w:lang w:val="en-US" w:eastAsia="zh-CN"/>
              </w:rPr>
            </w:pPr>
            <w:r>
              <w:rPr>
                <w:rFonts w:hint="eastAsia" w:ascii="Times New Roman" w:hAnsi="Times New Roman" w:eastAsia="黑体"/>
                <w:color w:val="auto"/>
                <w:sz w:val="24"/>
                <w:szCs w:val="24"/>
                <w:highlight w:val="none"/>
                <w:lang w:val="en-US" w:eastAsia="zh-CN"/>
              </w:rPr>
              <w:t>表1 庄河市2025年度第1批次土地利用现状地类面积统计表</w:t>
            </w:r>
          </w:p>
        </w:tc>
      </w:tr>
      <w:tr w14:paraId="37B8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 w:type="dxa"/>
          <w:trHeight w:val="270" w:hRule="atLeast"/>
          <w:jc w:val="center"/>
        </w:trPr>
        <w:tc>
          <w:tcPr>
            <w:tcW w:w="7872" w:type="dxa"/>
            <w:gridSpan w:val="5"/>
            <w:tcBorders>
              <w:top w:val="nil"/>
              <w:left w:val="nil"/>
              <w:bottom w:val="nil"/>
              <w:right w:val="nil"/>
            </w:tcBorders>
            <w:shd w:val="clear" w:color="auto" w:fill="auto"/>
            <w:noWrap/>
            <w:vAlign w:val="center"/>
          </w:tcPr>
          <w:p w14:paraId="6F17F09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right"/>
              <w:textAlignment w:val="auto"/>
              <w:rPr>
                <w:rFonts w:hint="eastAsia" w:ascii="Times New Roman" w:hAnsi="Times New Roman" w:eastAsia="黑体"/>
                <w:color w:val="auto"/>
                <w:sz w:val="18"/>
                <w:szCs w:val="18"/>
                <w:highlight w:val="none"/>
                <w:lang w:eastAsia="zh-CN"/>
              </w:rPr>
            </w:pPr>
            <w:r>
              <w:rPr>
                <w:rFonts w:hint="eastAsia" w:ascii="Times New Roman" w:hAnsi="Times New Roman" w:eastAsia="黑体"/>
                <w:color w:val="auto"/>
                <w:sz w:val="18"/>
                <w:szCs w:val="18"/>
                <w:highlight w:val="none"/>
                <w:lang w:val="en-US" w:eastAsia="zh-CN"/>
              </w:rPr>
              <w:t>单位：公顷，%</w:t>
            </w:r>
          </w:p>
        </w:tc>
      </w:tr>
      <w:tr w14:paraId="19DF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A240">
            <w:pPr>
              <w:keepNext w:val="0"/>
              <w:keepLines w:val="0"/>
              <w:widowControl/>
              <w:suppressLineNumbers w:val="0"/>
              <w:shd w:val="clear"/>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Times New Roman" w:hAnsi="Times New Roman" w:eastAsia="仿宋" w:cs="黑体"/>
                <w:b/>
                <w:bCs/>
                <w:i w:val="0"/>
                <w:iCs w:val="0"/>
                <w:color w:val="auto"/>
                <w:kern w:val="0"/>
                <w:sz w:val="21"/>
                <w:szCs w:val="21"/>
                <w:highlight w:val="none"/>
                <w:u w:val="none"/>
                <w:lang w:val="en-US" w:eastAsia="zh-CN" w:bidi="ar"/>
              </w:rPr>
              <w:t>地类</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127">
            <w:pPr>
              <w:keepNext w:val="0"/>
              <w:keepLines w:val="0"/>
              <w:widowControl/>
              <w:suppressLineNumbers w:val="0"/>
              <w:shd w:val="clear"/>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Times New Roman" w:hAnsi="Times New Roman" w:eastAsia="仿宋" w:cs="黑体"/>
                <w:b/>
                <w:bCs/>
                <w:i w:val="0"/>
                <w:iCs w:val="0"/>
                <w:color w:val="auto"/>
                <w:kern w:val="0"/>
                <w:sz w:val="21"/>
                <w:szCs w:val="21"/>
                <w:highlight w:val="none"/>
                <w:u w:val="none"/>
                <w:lang w:val="en-US" w:eastAsia="zh-CN" w:bidi="ar"/>
              </w:rPr>
              <w:t>面积</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A9EC6">
            <w:pPr>
              <w:keepNext w:val="0"/>
              <w:keepLines w:val="0"/>
              <w:widowControl/>
              <w:suppressLineNumbers w:val="0"/>
              <w:shd w:val="clear"/>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Times New Roman" w:hAnsi="Times New Roman" w:eastAsia="仿宋" w:cs="黑体"/>
                <w:b/>
                <w:bCs/>
                <w:i w:val="0"/>
                <w:iCs w:val="0"/>
                <w:color w:val="auto"/>
                <w:kern w:val="0"/>
                <w:sz w:val="21"/>
                <w:szCs w:val="21"/>
                <w:highlight w:val="none"/>
                <w:u w:val="none"/>
                <w:lang w:val="en-US" w:eastAsia="zh-CN" w:bidi="ar"/>
              </w:rPr>
              <w:t>开发范围比例</w:t>
            </w:r>
          </w:p>
        </w:tc>
      </w:tr>
      <w:tr w14:paraId="15D4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7F650">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用地面积</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7AE">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4.6479</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354E">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100.00%</w:t>
            </w:r>
          </w:p>
        </w:tc>
      </w:tr>
      <w:tr w14:paraId="4318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F3014">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农用地</w:t>
            </w: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834DB">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F025">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4.5787</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9E93">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98.51%</w:t>
            </w:r>
          </w:p>
        </w:tc>
      </w:tr>
      <w:tr w14:paraId="5AA4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5A89">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EC55F">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耕地</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757C">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950">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2.6941</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43BB">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57.96%</w:t>
            </w:r>
          </w:p>
        </w:tc>
      </w:tr>
      <w:tr w14:paraId="6605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10CB">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090D">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B2B">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旱地</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41CD">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2.6941</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3E3">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57.96%</w:t>
            </w:r>
          </w:p>
        </w:tc>
      </w:tr>
      <w:tr w14:paraId="1290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2AA0">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51078">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林地</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C67C">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E794">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1.8667</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8FFC">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40.16%</w:t>
            </w:r>
          </w:p>
        </w:tc>
      </w:tr>
      <w:tr w14:paraId="3B7F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2342">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FE72">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2A7">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乔木林地</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FAA">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1.8667</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D657">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40.16%</w:t>
            </w:r>
          </w:p>
        </w:tc>
      </w:tr>
      <w:tr w14:paraId="267D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FD11">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BDC6D">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交通运输用地</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1C2A">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A4BA">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0.0179</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C16E">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0.39%</w:t>
            </w:r>
          </w:p>
        </w:tc>
      </w:tr>
      <w:tr w14:paraId="0147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6646E">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C307">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2149">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农村道路</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0E72">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0.0179</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19BE">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0.39%</w:t>
            </w:r>
          </w:p>
        </w:tc>
      </w:tr>
      <w:tr w14:paraId="4219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63C0C">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建设用地</w:t>
            </w: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F5827">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4275">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0.0692</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13BD">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1.49%</w:t>
            </w:r>
          </w:p>
        </w:tc>
      </w:tr>
      <w:tr w14:paraId="276A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6558">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E44F6">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城镇村及工矿用地</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FE78">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C70D">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0.0692</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5A9D">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1.49%</w:t>
            </w:r>
          </w:p>
        </w:tc>
      </w:tr>
      <w:tr w14:paraId="09C7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D85E">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F39B">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300F">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村庄</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E64B">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0.0288</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005D">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0.62%</w:t>
            </w:r>
          </w:p>
        </w:tc>
      </w:tr>
      <w:tr w14:paraId="499D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ED3A">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5A78">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210">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盐田及采矿用地</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6D68">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0.0404</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99A2">
            <w:pPr>
              <w:keepNext w:val="0"/>
              <w:keepLines w:val="0"/>
              <w:widowControl/>
              <w:suppressLineNumbers w:val="0"/>
              <w:shd w:val="clear"/>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0.87%</w:t>
            </w:r>
          </w:p>
        </w:tc>
      </w:tr>
    </w:tbl>
    <w:p w14:paraId="1CB359BE">
      <w:pPr>
        <w:pStyle w:val="3"/>
        <w:spacing w:before="0" w:line="360" w:lineRule="auto"/>
        <w:ind w:left="-220" w:leftChars="-100" w:right="14" w:firstLine="0" w:firstLineChars="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highlight w:val="none"/>
          <w:lang w:val="en-US" w:eastAsia="zh-CN"/>
        </w:rPr>
        <w:drawing>
          <wp:inline distT="0" distB="0" distL="114300" distR="114300">
            <wp:extent cx="5679440" cy="4020185"/>
            <wp:effectExtent l="0" t="0" r="16510" b="18415"/>
            <wp:docPr id="6" name="图片 6" descr="E:/土地征收成片开发/2025年度土地征收成片开发/2025年度第1批次金来矿业/5.图件/土地利用现状图-去填充符号.jpg土地利用现状图-去填充符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土地征收成片开发/2025年度土地征收成片开发/2025年度第1批次金来矿业/5.图件/土地利用现状图-去填充符号.jpg土地利用现状图-去填充符号"/>
                    <pic:cNvPicPr>
                      <a:picLocks noChangeAspect="1"/>
                    </pic:cNvPicPr>
                  </pic:nvPicPr>
                  <pic:blipFill>
                    <a:blip r:embed="rId7"/>
                    <a:srcRect l="24" r="24"/>
                    <a:stretch>
                      <a:fillRect/>
                    </a:stretch>
                  </pic:blipFill>
                  <pic:spPr>
                    <a:xfrm>
                      <a:off x="0" y="0"/>
                      <a:ext cx="5679440" cy="4020185"/>
                    </a:xfrm>
                    <a:prstGeom prst="rect">
                      <a:avLst/>
                    </a:prstGeom>
                  </pic:spPr>
                </pic:pic>
              </a:graphicData>
            </a:graphic>
          </wp:inline>
        </w:drawing>
      </w:r>
    </w:p>
    <w:p w14:paraId="304EEACF">
      <w:pPr>
        <w:pStyle w:val="3"/>
        <w:spacing w:before="0" w:line="360" w:lineRule="auto"/>
        <w:ind w:right="14" w:firstLine="480" w:firstLineChars="20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sz w:val="24"/>
          <w:szCs w:val="24"/>
          <w:highlight w:val="none"/>
          <w:lang w:val="en-US" w:eastAsia="zh-CN"/>
        </w:rPr>
        <w:t xml:space="preserve">图2  </w:t>
      </w:r>
      <w:r>
        <w:rPr>
          <w:rFonts w:hint="eastAsia" w:ascii="Times New Roman" w:hAnsi="Times New Roman" w:eastAsia="仿宋"/>
          <w:color w:val="auto"/>
          <w:spacing w:val="0"/>
          <w:w w:val="100"/>
          <w:sz w:val="24"/>
          <w:szCs w:val="24"/>
          <w:highlight w:val="none"/>
          <w:lang w:eastAsia="zh-CN"/>
        </w:rPr>
        <w:t>庄河市2025年度第1批次</w:t>
      </w:r>
      <w:r>
        <w:rPr>
          <w:rFonts w:hint="eastAsia" w:ascii="Times New Roman" w:hAnsi="Times New Roman" w:eastAsia="仿宋"/>
          <w:color w:val="auto"/>
          <w:spacing w:val="0"/>
          <w:w w:val="100"/>
          <w:sz w:val="24"/>
          <w:szCs w:val="24"/>
          <w:highlight w:val="none"/>
          <w:lang w:val="en-US" w:eastAsia="zh-CN"/>
        </w:rPr>
        <w:t>土地利用现状图</w:t>
      </w:r>
    </w:p>
    <w:p w14:paraId="1CB135A7">
      <w:pPr>
        <w:pStyle w:val="3"/>
        <w:spacing w:before="0" w:line="360" w:lineRule="auto"/>
        <w:ind w:right="14" w:firstLine="560" w:firstLineChars="200"/>
        <w:outlineLvl w:val="9"/>
        <w:rPr>
          <w:rFonts w:hint="eastAsia" w:ascii="仿宋" w:hAnsi="仿宋" w:eastAsia="仿宋"/>
          <w:color w:val="auto"/>
          <w:lang w:val="en-US" w:eastAsia="zh-CN"/>
        </w:rPr>
      </w:pPr>
    </w:p>
    <w:p w14:paraId="4A1027AB">
      <w:pPr>
        <w:pStyle w:val="3"/>
        <w:spacing w:before="0" w:line="360" w:lineRule="auto"/>
        <w:ind w:right="14" w:firstLine="560" w:firstLineChars="200"/>
        <w:outlineLvl w:val="9"/>
        <w:rPr>
          <w:rFonts w:hint="eastAsia" w:ascii="仿宋" w:hAnsi="仿宋" w:eastAsia="仿宋"/>
          <w:color w:val="auto"/>
          <w:lang w:val="en-US" w:eastAsia="zh-CN"/>
        </w:rPr>
      </w:pPr>
    </w:p>
    <w:p w14:paraId="4B5E3234">
      <w:pPr>
        <w:pStyle w:val="3"/>
        <w:spacing w:before="0" w:line="360" w:lineRule="auto"/>
        <w:ind w:right="14" w:firstLine="560" w:firstLineChars="200"/>
        <w:outlineLvl w:val="9"/>
        <w:rPr>
          <w:rFonts w:ascii="仿宋" w:hAnsi="仿宋" w:eastAsia="仿宋"/>
          <w:color w:val="auto"/>
          <w:lang w:eastAsia="zh-CN"/>
        </w:rPr>
      </w:pPr>
      <w:r>
        <w:rPr>
          <w:rFonts w:hint="eastAsia" w:ascii="仿宋" w:hAnsi="仿宋" w:eastAsia="仿宋"/>
          <w:color w:val="auto"/>
          <w:lang w:val="en-US" w:eastAsia="zh-CN"/>
        </w:rPr>
        <w:t>3、</w:t>
      </w:r>
      <w:r>
        <w:rPr>
          <w:rFonts w:ascii="仿宋" w:hAnsi="仿宋" w:eastAsia="仿宋"/>
          <w:color w:val="auto"/>
          <w:lang w:eastAsia="zh-CN"/>
        </w:rPr>
        <w:t>成片开</w:t>
      </w:r>
      <w:r>
        <w:rPr>
          <w:rFonts w:hint="eastAsia" w:ascii="仿宋" w:hAnsi="仿宋" w:eastAsia="仿宋"/>
          <w:color w:val="auto"/>
          <w:lang w:eastAsia="zh-CN"/>
        </w:rPr>
        <w:t>发方</w:t>
      </w:r>
      <w:bookmarkStart w:id="8" w:name="_GoBack"/>
      <w:bookmarkEnd w:id="8"/>
      <w:r>
        <w:rPr>
          <w:rFonts w:ascii="仿宋" w:hAnsi="仿宋" w:eastAsia="仿宋"/>
          <w:color w:val="auto"/>
          <w:lang w:eastAsia="zh-CN"/>
        </w:rPr>
        <w:t>案土地权属情况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2826"/>
        <w:gridCol w:w="2870"/>
      </w:tblGrid>
      <w:tr w14:paraId="6F91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522" w:type="dxa"/>
            <w:gridSpan w:val="3"/>
            <w:tcBorders>
              <w:top w:val="nil"/>
              <w:left w:val="nil"/>
              <w:bottom w:val="nil"/>
              <w:right w:val="nil"/>
            </w:tcBorders>
            <w:vAlign w:val="center"/>
          </w:tcPr>
          <w:p w14:paraId="06DBEFC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102"/>
              <w:jc w:val="center"/>
              <w:textAlignment w:val="auto"/>
              <w:rPr>
                <w:rFonts w:ascii="Times New Roman" w:hAnsi="Times New Roman" w:eastAsia="黑体"/>
                <w:color w:val="auto"/>
                <w:sz w:val="24"/>
                <w:szCs w:val="24"/>
                <w:highlight w:val="none"/>
                <w:vertAlign w:val="baseline"/>
                <w:lang w:eastAsia="zh-CN"/>
              </w:rPr>
            </w:pPr>
            <w:r>
              <w:rPr>
                <w:rFonts w:hint="eastAsia" w:ascii="Times New Roman" w:hAnsi="Times New Roman" w:eastAsia="黑体"/>
                <w:color w:val="auto"/>
                <w:sz w:val="24"/>
                <w:szCs w:val="24"/>
                <w:highlight w:val="none"/>
                <w:lang w:val="en-US" w:eastAsia="zh-CN"/>
              </w:rPr>
              <w:t xml:space="preserve">表2  </w:t>
            </w:r>
            <w:r>
              <w:rPr>
                <w:rFonts w:hint="eastAsia" w:ascii="Times New Roman" w:hAnsi="Times New Roman" w:eastAsia="黑体"/>
                <w:color w:val="auto"/>
                <w:sz w:val="24"/>
                <w:szCs w:val="24"/>
                <w:highlight w:val="none"/>
                <w:lang w:eastAsia="zh-CN"/>
              </w:rPr>
              <w:t>庄河市2025年度第1批次土地权属面积统计表</w:t>
            </w:r>
          </w:p>
        </w:tc>
      </w:tr>
      <w:tr w14:paraId="2E57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3"/>
            <w:tcBorders>
              <w:top w:val="nil"/>
              <w:left w:val="nil"/>
              <w:bottom w:val="single" w:color="auto" w:sz="4" w:space="0"/>
              <w:right w:val="nil"/>
            </w:tcBorders>
            <w:vAlign w:val="center"/>
          </w:tcPr>
          <w:p w14:paraId="4C1BED8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right"/>
              <w:textAlignment w:val="auto"/>
              <w:rPr>
                <w:rFonts w:ascii="Times New Roman" w:hAnsi="Times New Roman" w:eastAsia="黑体"/>
                <w:color w:val="auto"/>
                <w:sz w:val="24"/>
                <w:szCs w:val="24"/>
                <w:highlight w:val="none"/>
                <w:vertAlign w:val="baseline"/>
                <w:lang w:eastAsia="zh-CN"/>
              </w:rPr>
            </w:pPr>
            <w:r>
              <w:rPr>
                <w:rFonts w:hint="eastAsia" w:ascii="Times New Roman" w:hAnsi="Times New Roman" w:eastAsia="黑体"/>
                <w:color w:val="auto"/>
                <w:sz w:val="18"/>
                <w:szCs w:val="18"/>
                <w:highlight w:val="none"/>
                <w:lang w:eastAsia="zh-CN"/>
              </w:rPr>
              <w:t>单位：公顷</w:t>
            </w:r>
          </w:p>
        </w:tc>
      </w:tr>
      <w:tr w14:paraId="69F7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tcBorders>
              <w:top w:val="single" w:color="auto" w:sz="4" w:space="0"/>
            </w:tcBorders>
            <w:vAlign w:val="center"/>
          </w:tcPr>
          <w:p w14:paraId="641169EC">
            <w:pPr>
              <w:keepNext w:val="0"/>
              <w:keepLines w:val="0"/>
              <w:widowControl/>
              <w:suppressLineNumbers w:val="0"/>
              <w:shd w:val="clear"/>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Times New Roman" w:hAnsi="Times New Roman" w:eastAsia="黑体" w:cs="黑体"/>
                <w:i w:val="0"/>
                <w:iCs w:val="0"/>
                <w:color w:val="auto"/>
                <w:kern w:val="0"/>
                <w:sz w:val="21"/>
                <w:szCs w:val="21"/>
                <w:highlight w:val="none"/>
                <w:u w:val="none"/>
                <w:lang w:val="en-US" w:eastAsia="en-US" w:bidi="ar"/>
              </w:rPr>
              <w:t>权属性质</w:t>
            </w:r>
          </w:p>
        </w:tc>
        <w:tc>
          <w:tcPr>
            <w:tcW w:w="2826" w:type="dxa"/>
            <w:tcBorders>
              <w:top w:val="single" w:color="auto" w:sz="4" w:space="0"/>
            </w:tcBorders>
            <w:vAlign w:val="center"/>
          </w:tcPr>
          <w:p w14:paraId="5687E335">
            <w:pPr>
              <w:keepNext w:val="0"/>
              <w:keepLines w:val="0"/>
              <w:widowControl/>
              <w:suppressLineNumbers w:val="0"/>
              <w:shd w:val="clear"/>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Times New Roman" w:hAnsi="Times New Roman" w:eastAsia="黑体" w:cs="黑体"/>
                <w:i w:val="0"/>
                <w:iCs w:val="0"/>
                <w:color w:val="auto"/>
                <w:kern w:val="0"/>
                <w:sz w:val="21"/>
                <w:szCs w:val="21"/>
                <w:highlight w:val="none"/>
                <w:u w:val="none"/>
                <w:lang w:val="en-US" w:eastAsia="en-US" w:bidi="ar"/>
              </w:rPr>
              <w:t>权属名称</w:t>
            </w:r>
          </w:p>
        </w:tc>
        <w:tc>
          <w:tcPr>
            <w:tcW w:w="2870" w:type="dxa"/>
            <w:tcBorders>
              <w:top w:val="single" w:color="auto" w:sz="4" w:space="0"/>
            </w:tcBorders>
            <w:vAlign w:val="center"/>
          </w:tcPr>
          <w:p w14:paraId="46D82139">
            <w:pPr>
              <w:keepNext w:val="0"/>
              <w:keepLines w:val="0"/>
              <w:widowControl/>
              <w:suppressLineNumbers w:val="0"/>
              <w:shd w:val="clear"/>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Times New Roman" w:hAnsi="Times New Roman" w:eastAsia="黑体" w:cs="黑体"/>
                <w:i w:val="0"/>
                <w:iCs w:val="0"/>
                <w:color w:val="auto"/>
                <w:kern w:val="0"/>
                <w:sz w:val="21"/>
                <w:szCs w:val="21"/>
                <w:highlight w:val="none"/>
                <w:u w:val="none"/>
                <w:lang w:val="en-US" w:eastAsia="en-US" w:bidi="ar"/>
              </w:rPr>
              <w:t>土地面积</w:t>
            </w:r>
          </w:p>
        </w:tc>
      </w:tr>
      <w:tr w14:paraId="3F2B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Align w:val="center"/>
          </w:tcPr>
          <w:p w14:paraId="6F589C50">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国有</w:t>
            </w:r>
          </w:p>
        </w:tc>
        <w:tc>
          <w:tcPr>
            <w:tcW w:w="2826" w:type="dxa"/>
            <w:vAlign w:val="center"/>
          </w:tcPr>
          <w:p w14:paraId="11D915B3">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庄河市人民政府</w:t>
            </w:r>
          </w:p>
        </w:tc>
        <w:tc>
          <w:tcPr>
            <w:tcW w:w="2870" w:type="dxa"/>
            <w:vAlign w:val="center"/>
          </w:tcPr>
          <w:p w14:paraId="636DE3F3">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0.0032</w:t>
            </w:r>
          </w:p>
        </w:tc>
      </w:tr>
      <w:tr w14:paraId="171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restart"/>
            <w:vAlign w:val="center"/>
          </w:tcPr>
          <w:p w14:paraId="63F571A1">
            <w:pPr>
              <w:keepNext w:val="0"/>
              <w:keepLines w:val="0"/>
              <w:widowControl/>
              <w:suppressLineNumbers w:val="0"/>
              <w:shd w:val="clear"/>
              <w:jc w:val="center"/>
              <w:textAlignment w:val="center"/>
              <w:rPr>
                <w:rFonts w:hint="eastAsia" w:ascii="宋体" w:hAnsi="宋体" w:eastAsia="宋体" w:cs="宋体"/>
                <w:color w:val="0000FF"/>
                <w:sz w:val="21"/>
                <w:szCs w:val="21"/>
                <w:highlight w:val="none"/>
                <w:vertAlign w:val="baseline"/>
                <w:lang w:eastAsia="zh-CN"/>
              </w:rPr>
            </w:pPr>
            <w:r>
              <w:rPr>
                <w:rFonts w:hint="eastAsia" w:ascii="Times New Roman" w:hAnsi="Times New Roman" w:eastAsia="仿宋" w:cs="黑体"/>
                <w:i w:val="0"/>
                <w:iCs w:val="0"/>
                <w:color w:val="auto"/>
                <w:kern w:val="0"/>
                <w:sz w:val="21"/>
                <w:szCs w:val="21"/>
                <w:highlight w:val="none"/>
                <w:u w:val="none"/>
                <w:lang w:val="en-US" w:eastAsia="zh-CN" w:bidi="ar"/>
              </w:rPr>
              <w:t>集体</w:t>
            </w:r>
          </w:p>
        </w:tc>
        <w:tc>
          <w:tcPr>
            <w:tcW w:w="2826" w:type="dxa"/>
            <w:vAlign w:val="center"/>
          </w:tcPr>
          <w:p w14:paraId="53BC4902">
            <w:pPr>
              <w:keepNext w:val="0"/>
              <w:keepLines w:val="0"/>
              <w:widowControl/>
              <w:suppressLineNumbers w:val="0"/>
              <w:shd w:val="clear"/>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兰店乡解放村</w:t>
            </w:r>
          </w:p>
        </w:tc>
        <w:tc>
          <w:tcPr>
            <w:tcW w:w="2870" w:type="dxa"/>
            <w:vAlign w:val="center"/>
          </w:tcPr>
          <w:p w14:paraId="276ACAA8">
            <w:pPr>
              <w:keepNext w:val="0"/>
              <w:keepLines w:val="0"/>
              <w:widowControl/>
              <w:suppressLineNumbers w:val="0"/>
              <w:shd w:val="clear"/>
              <w:jc w:val="center"/>
              <w:textAlignment w:val="center"/>
              <w:rPr>
                <w:rFonts w:hint="default" w:ascii="Times New Roman" w:hAnsi="Times New Roman" w:eastAsia="仿宋" w:cstheme="minorBidi"/>
                <w:color w:val="0000FF"/>
                <w:spacing w:val="0"/>
                <w:sz w:val="21"/>
                <w:szCs w:val="21"/>
                <w:highlight w:val="none"/>
                <w:lang w:val="en-US" w:eastAsia="zh-CN" w:bidi="ar-SA"/>
              </w:rPr>
            </w:pPr>
            <w:r>
              <w:rPr>
                <w:rFonts w:hint="eastAsia" w:ascii="Times New Roman" w:hAnsi="Times New Roman" w:eastAsia="仿宋" w:cs="黑体"/>
                <w:i w:val="0"/>
                <w:iCs w:val="0"/>
                <w:color w:val="auto"/>
                <w:kern w:val="0"/>
                <w:sz w:val="21"/>
                <w:szCs w:val="21"/>
                <w:highlight w:val="none"/>
                <w:u w:val="none"/>
                <w:lang w:val="en-US" w:eastAsia="zh-CN" w:bidi="ar"/>
              </w:rPr>
              <w:t>4.6199</w:t>
            </w:r>
          </w:p>
        </w:tc>
      </w:tr>
      <w:tr w14:paraId="17C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continue"/>
            <w:vAlign w:val="center"/>
          </w:tcPr>
          <w:p w14:paraId="1C916769">
            <w:pPr>
              <w:keepNext w:val="0"/>
              <w:keepLines w:val="0"/>
              <w:widowControl/>
              <w:suppressLineNumbers w:val="0"/>
              <w:shd w:val="clear"/>
              <w:jc w:val="center"/>
              <w:textAlignment w:val="center"/>
              <w:rPr>
                <w:color w:val="0000FF"/>
              </w:rPr>
            </w:pPr>
          </w:p>
        </w:tc>
        <w:tc>
          <w:tcPr>
            <w:tcW w:w="2826" w:type="dxa"/>
            <w:vAlign w:val="center"/>
          </w:tcPr>
          <w:p w14:paraId="39044F02">
            <w:pPr>
              <w:keepNext w:val="0"/>
              <w:keepLines w:val="0"/>
              <w:widowControl/>
              <w:suppressLineNumbers w:val="0"/>
              <w:shd w:val="clear"/>
              <w:jc w:val="center"/>
              <w:textAlignment w:val="center"/>
            </w:pPr>
            <w:r>
              <w:rPr>
                <w:rFonts w:hint="eastAsia" w:ascii="Times New Roman" w:hAnsi="Times New Roman" w:eastAsia="仿宋" w:cs="黑体"/>
                <w:i w:val="0"/>
                <w:iCs w:val="0"/>
                <w:color w:val="auto"/>
                <w:kern w:val="0"/>
                <w:sz w:val="21"/>
                <w:szCs w:val="21"/>
                <w:highlight w:val="none"/>
                <w:u w:val="none"/>
                <w:lang w:val="en-US" w:eastAsia="zh-CN" w:bidi="ar"/>
              </w:rPr>
              <w:t>兰店乡元和村</w:t>
            </w:r>
          </w:p>
        </w:tc>
        <w:tc>
          <w:tcPr>
            <w:tcW w:w="2870" w:type="dxa"/>
            <w:vAlign w:val="center"/>
          </w:tcPr>
          <w:p w14:paraId="7D506DE8">
            <w:pPr>
              <w:keepNext w:val="0"/>
              <w:keepLines w:val="0"/>
              <w:widowControl/>
              <w:suppressLineNumbers w:val="0"/>
              <w:shd w:val="clear"/>
              <w:jc w:val="center"/>
              <w:textAlignment w:val="center"/>
              <w:rPr>
                <w:rFonts w:hint="default" w:ascii="Times New Roman" w:hAnsi="Times New Roman" w:eastAsia="仿宋" w:cstheme="minorBidi"/>
                <w:b/>
                <w:bCs/>
                <w:color w:val="0000FF"/>
                <w:spacing w:val="0"/>
                <w:sz w:val="21"/>
                <w:szCs w:val="21"/>
                <w:highlight w:val="none"/>
                <w:lang w:val="en-US" w:eastAsia="zh-CN" w:bidi="ar-SA"/>
              </w:rPr>
            </w:pPr>
            <w:r>
              <w:rPr>
                <w:rFonts w:hint="eastAsia" w:ascii="Times New Roman" w:hAnsi="Times New Roman" w:eastAsia="仿宋" w:cs="黑体"/>
                <w:i w:val="0"/>
                <w:iCs w:val="0"/>
                <w:color w:val="auto"/>
                <w:kern w:val="0"/>
                <w:sz w:val="21"/>
                <w:szCs w:val="21"/>
                <w:highlight w:val="none"/>
                <w:u w:val="none"/>
                <w:lang w:val="en-US" w:eastAsia="zh-CN" w:bidi="ar"/>
              </w:rPr>
              <w:t>0.0248</w:t>
            </w:r>
          </w:p>
        </w:tc>
      </w:tr>
      <w:tr w14:paraId="234C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continue"/>
            <w:vAlign w:val="center"/>
          </w:tcPr>
          <w:p w14:paraId="1033517E">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p>
        </w:tc>
        <w:tc>
          <w:tcPr>
            <w:tcW w:w="2826" w:type="dxa"/>
            <w:vAlign w:val="center"/>
          </w:tcPr>
          <w:p w14:paraId="77ACEC75">
            <w:pPr>
              <w:keepNext w:val="0"/>
              <w:keepLines w:val="0"/>
              <w:widowControl/>
              <w:suppressLineNumbers w:val="0"/>
              <w:shd w:val="clear"/>
              <w:jc w:val="center"/>
              <w:textAlignment w:val="center"/>
            </w:pPr>
            <w:r>
              <w:rPr>
                <w:rFonts w:hint="eastAsia" w:ascii="Times New Roman" w:hAnsi="Times New Roman" w:eastAsia="仿宋" w:cs="黑体"/>
                <w:i w:val="0"/>
                <w:iCs w:val="0"/>
                <w:color w:val="auto"/>
                <w:kern w:val="0"/>
                <w:sz w:val="21"/>
                <w:szCs w:val="21"/>
                <w:highlight w:val="none"/>
                <w:u w:val="none"/>
                <w:lang w:val="en-US" w:eastAsia="zh-CN" w:bidi="ar"/>
              </w:rPr>
              <w:t>小计</w:t>
            </w:r>
          </w:p>
        </w:tc>
        <w:tc>
          <w:tcPr>
            <w:tcW w:w="2870" w:type="dxa"/>
            <w:vAlign w:val="center"/>
          </w:tcPr>
          <w:p w14:paraId="1A623ECF">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4.6447</w:t>
            </w:r>
          </w:p>
        </w:tc>
      </w:tr>
      <w:tr w14:paraId="657C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2" w:type="dxa"/>
            <w:gridSpan w:val="2"/>
            <w:vAlign w:val="center"/>
          </w:tcPr>
          <w:p w14:paraId="7C16AEA7">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总计</w:t>
            </w:r>
          </w:p>
        </w:tc>
        <w:tc>
          <w:tcPr>
            <w:tcW w:w="2870" w:type="dxa"/>
            <w:vAlign w:val="center"/>
          </w:tcPr>
          <w:p w14:paraId="6AA494EB">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4.6479</w:t>
            </w:r>
          </w:p>
        </w:tc>
      </w:tr>
    </w:tbl>
    <w:p w14:paraId="5F5315E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220" w:leftChars="-100" w:right="0" w:firstLine="0" w:firstLineChars="0"/>
        <w:jc w:val="center"/>
        <w:textAlignment w:val="auto"/>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highlight w:val="none"/>
          <w:lang w:val="en-US" w:eastAsia="zh-CN"/>
        </w:rPr>
        <w:drawing>
          <wp:inline distT="0" distB="0" distL="114300" distR="114300">
            <wp:extent cx="5678805" cy="4018915"/>
            <wp:effectExtent l="0" t="0" r="17145" b="635"/>
            <wp:docPr id="9" name="图片 9" descr="E:/土地征收成片开发/2025年度土地征收成片开发/2025年度第1批次金来矿业/5.图件/权属性质示意图.jpg权属性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土地征收成片开发/2025年度土地征收成片开发/2025年度第1批次金来矿业/5.图件/权属性质示意图.jpg权属性质示意图"/>
                    <pic:cNvPicPr>
                      <a:picLocks noChangeAspect="1"/>
                    </pic:cNvPicPr>
                  </pic:nvPicPr>
                  <pic:blipFill>
                    <a:blip r:embed="rId8"/>
                    <a:srcRect l="8" r="8"/>
                    <a:stretch>
                      <a:fillRect/>
                    </a:stretch>
                  </pic:blipFill>
                  <pic:spPr>
                    <a:xfrm>
                      <a:off x="0" y="0"/>
                      <a:ext cx="5678805" cy="4018915"/>
                    </a:xfrm>
                    <a:prstGeom prst="rect">
                      <a:avLst/>
                    </a:prstGeom>
                  </pic:spPr>
                </pic:pic>
              </a:graphicData>
            </a:graphic>
          </wp:inline>
        </w:drawing>
      </w:r>
    </w:p>
    <w:p w14:paraId="5B32C238">
      <w:pPr>
        <w:keepNext w:val="0"/>
        <w:keepLines w:val="0"/>
        <w:pageBreakBefore w:val="0"/>
        <w:shd w:val="clear"/>
        <w:kinsoku/>
        <w:wordWrap/>
        <w:overflowPunct/>
        <w:topLinePunct w:val="0"/>
        <w:autoSpaceDE/>
        <w:autoSpaceDN/>
        <w:bidi w:val="0"/>
        <w:adjustRightInd/>
        <w:spacing w:line="360" w:lineRule="auto"/>
        <w:ind w:left="0" w:leftChars="0" w:right="0" w:firstLine="0" w:firstLineChars="0"/>
        <w:jc w:val="center"/>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图3  </w:t>
      </w:r>
      <w:r>
        <w:rPr>
          <w:rFonts w:hint="eastAsia" w:ascii="Times New Roman" w:hAnsi="Times New Roman" w:eastAsia="仿宋"/>
          <w:color w:val="auto"/>
          <w:spacing w:val="0"/>
          <w:w w:val="100"/>
          <w:sz w:val="24"/>
          <w:szCs w:val="24"/>
          <w:highlight w:val="none"/>
          <w:lang w:eastAsia="zh-CN"/>
        </w:rPr>
        <w:t>庄河市2025年度第1批次</w:t>
      </w:r>
      <w:r>
        <w:rPr>
          <w:rFonts w:hint="eastAsia" w:ascii="Times New Roman" w:hAnsi="Times New Roman" w:eastAsia="仿宋"/>
          <w:color w:val="auto"/>
          <w:spacing w:val="0"/>
          <w:w w:val="100"/>
          <w:sz w:val="24"/>
          <w:szCs w:val="24"/>
          <w:highlight w:val="none"/>
          <w:lang w:val="en-US" w:eastAsia="zh-CN"/>
        </w:rPr>
        <w:t>土地权属性质示意图</w:t>
      </w:r>
    </w:p>
    <w:p w14:paraId="54C878BB">
      <w:pPr>
        <w:pStyle w:val="3"/>
        <w:spacing w:before="0"/>
        <w:ind w:left="0" w:leftChars="0" w:firstLine="0" w:firstLineChars="0"/>
        <w:rPr>
          <w:rFonts w:hint="eastAsia" w:ascii="黑体" w:hAnsi="黑体" w:eastAsia="黑体"/>
          <w:sz w:val="24"/>
          <w:szCs w:val="24"/>
          <w:lang w:val="en-US" w:eastAsia="zh-CN"/>
        </w:rPr>
      </w:pPr>
    </w:p>
    <w:p w14:paraId="5498BB32">
      <w:pPr>
        <w:pStyle w:val="3"/>
        <w:spacing w:before="0" w:line="360" w:lineRule="auto"/>
        <w:ind w:left="0" w:leftChars="0" w:right="14" w:firstLine="544" w:firstLineChars="200"/>
        <w:outlineLvl w:val="9"/>
        <w:rPr>
          <w:rFonts w:hint="eastAsia" w:ascii="仿宋" w:hAnsi="仿宋" w:eastAsia="仿宋"/>
          <w:spacing w:val="-4"/>
          <w:highlight w:val="none"/>
          <w:lang w:val="en-US" w:eastAsia="zh-CN"/>
        </w:rPr>
      </w:pPr>
    </w:p>
    <w:p w14:paraId="3213CB23">
      <w:pPr>
        <w:pStyle w:val="3"/>
        <w:spacing w:before="0" w:line="360" w:lineRule="auto"/>
        <w:ind w:left="0" w:leftChars="0" w:right="14" w:firstLine="544" w:firstLineChars="200"/>
        <w:outlineLvl w:val="9"/>
        <w:rPr>
          <w:rFonts w:hint="eastAsia" w:ascii="仿宋" w:hAnsi="仿宋" w:eastAsia="仿宋"/>
          <w:spacing w:val="-4"/>
          <w:highlight w:val="none"/>
          <w:lang w:val="en-US" w:eastAsia="zh-CN"/>
        </w:rPr>
      </w:pPr>
    </w:p>
    <w:p w14:paraId="1BC7FB38">
      <w:pPr>
        <w:pStyle w:val="3"/>
        <w:spacing w:before="0" w:line="360" w:lineRule="auto"/>
        <w:ind w:left="0" w:leftChars="0" w:right="14" w:firstLine="544" w:firstLineChars="200"/>
        <w:outlineLvl w:val="9"/>
        <w:rPr>
          <w:rFonts w:hint="eastAsia" w:ascii="仿宋" w:hAnsi="仿宋" w:eastAsia="仿宋"/>
          <w:spacing w:val="-4"/>
          <w:highlight w:val="none"/>
          <w:lang w:val="en-US" w:eastAsia="zh-CN"/>
        </w:rPr>
      </w:pPr>
    </w:p>
    <w:p w14:paraId="22B7DBFE">
      <w:pPr>
        <w:pStyle w:val="3"/>
        <w:spacing w:before="0" w:line="360" w:lineRule="auto"/>
        <w:ind w:left="0" w:leftChars="0" w:right="14" w:firstLine="544" w:firstLineChars="200"/>
        <w:outlineLvl w:val="9"/>
        <w:rPr>
          <w:rFonts w:hint="eastAsia" w:ascii="仿宋" w:hAnsi="仿宋" w:eastAsia="仿宋"/>
          <w:spacing w:val="-4"/>
          <w:highlight w:val="none"/>
          <w:lang w:val="en-US" w:eastAsia="zh-CN"/>
        </w:rPr>
      </w:pPr>
    </w:p>
    <w:p w14:paraId="0693DA84">
      <w:pPr>
        <w:pStyle w:val="3"/>
        <w:spacing w:before="0" w:line="360" w:lineRule="auto"/>
        <w:ind w:left="0" w:leftChars="0" w:right="14" w:firstLine="544" w:firstLineChars="200"/>
        <w:outlineLvl w:val="9"/>
        <w:rPr>
          <w:rFonts w:ascii="仿宋" w:hAnsi="仿宋" w:eastAsia="仿宋"/>
          <w:spacing w:val="-4"/>
          <w:highlight w:val="none"/>
          <w:lang w:eastAsia="zh-CN"/>
        </w:rPr>
      </w:pPr>
      <w:r>
        <w:rPr>
          <w:rFonts w:hint="eastAsia" w:ascii="仿宋" w:hAnsi="仿宋" w:eastAsia="仿宋"/>
          <w:spacing w:val="-4"/>
          <w:highlight w:val="none"/>
          <w:lang w:val="en-US" w:eastAsia="zh-CN"/>
        </w:rPr>
        <w:t>4、</w:t>
      </w:r>
      <w:r>
        <w:rPr>
          <w:rFonts w:ascii="仿宋" w:hAnsi="仿宋" w:eastAsia="仿宋"/>
          <w:spacing w:val="-4"/>
          <w:highlight w:val="none"/>
          <w:lang w:eastAsia="zh-CN"/>
        </w:rPr>
        <w:t>成片开发方案土地用途安排</w:t>
      </w:r>
    </w:p>
    <w:tbl>
      <w:tblPr>
        <w:tblStyle w:val="7"/>
        <w:tblW w:w="8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79"/>
        <w:gridCol w:w="2767"/>
        <w:gridCol w:w="2688"/>
      </w:tblGrid>
      <w:tr w14:paraId="4F4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8134" w:type="dxa"/>
            <w:gridSpan w:val="3"/>
            <w:tcBorders>
              <w:top w:val="nil"/>
              <w:left w:val="nil"/>
              <w:bottom w:val="nil"/>
              <w:right w:val="nil"/>
            </w:tcBorders>
            <w:shd w:val="clear" w:color="auto" w:fill="auto"/>
            <w:vAlign w:val="center"/>
          </w:tcPr>
          <w:p w14:paraId="30E406CF">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黑体" w:cstheme="minorBidi"/>
                <w:sz w:val="24"/>
                <w:szCs w:val="24"/>
                <w:highlight w:val="none"/>
                <w:lang w:val="en-US" w:eastAsia="zh-CN" w:bidi="ar-SA"/>
              </w:rPr>
              <w:t>表3  庄河市2025年度第1批次规划用地类型统计表</w:t>
            </w:r>
          </w:p>
        </w:tc>
      </w:tr>
      <w:tr w14:paraId="3D17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8134" w:type="dxa"/>
            <w:gridSpan w:val="3"/>
            <w:tcBorders>
              <w:top w:val="nil"/>
              <w:left w:val="nil"/>
              <w:bottom w:val="single" w:color="auto" w:sz="4" w:space="0"/>
              <w:right w:val="nil"/>
            </w:tcBorders>
            <w:shd w:val="clear" w:color="auto" w:fill="auto"/>
            <w:vAlign w:val="top"/>
          </w:tcPr>
          <w:p w14:paraId="27D4F982">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righ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黑体" w:cstheme="minorBidi"/>
                <w:sz w:val="18"/>
                <w:szCs w:val="18"/>
                <w:highlight w:val="none"/>
                <w:lang w:val="en-US" w:eastAsia="zh-CN" w:bidi="ar-SA"/>
              </w:rPr>
              <w:t>单位：公顷，%</w:t>
            </w:r>
          </w:p>
        </w:tc>
      </w:tr>
      <w:tr w14:paraId="5D09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tcBorders>
              <w:top w:val="single" w:color="auto" w:sz="4" w:space="0"/>
            </w:tcBorders>
            <w:shd w:val="clear" w:color="auto" w:fill="auto"/>
            <w:vAlign w:val="center"/>
          </w:tcPr>
          <w:p w14:paraId="52BA246A">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类别</w:t>
            </w:r>
          </w:p>
        </w:tc>
        <w:tc>
          <w:tcPr>
            <w:tcW w:w="2767" w:type="dxa"/>
            <w:tcBorders>
              <w:top w:val="single" w:color="auto" w:sz="4" w:space="0"/>
            </w:tcBorders>
            <w:shd w:val="clear" w:color="auto" w:fill="auto"/>
            <w:noWrap/>
            <w:vAlign w:val="center"/>
          </w:tcPr>
          <w:p w14:paraId="25F8AD44">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面积</w:t>
            </w:r>
          </w:p>
        </w:tc>
        <w:tc>
          <w:tcPr>
            <w:tcW w:w="2688" w:type="dxa"/>
            <w:tcBorders>
              <w:top w:val="single" w:color="auto" w:sz="4" w:space="0"/>
            </w:tcBorders>
            <w:shd w:val="clear" w:color="auto" w:fill="auto"/>
            <w:noWrap/>
            <w:vAlign w:val="center"/>
          </w:tcPr>
          <w:p w14:paraId="1712F57C">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比例</w:t>
            </w:r>
          </w:p>
        </w:tc>
      </w:tr>
      <w:tr w14:paraId="6E7D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shd w:val="clear" w:color="auto" w:fill="auto"/>
            <w:vAlign w:val="center"/>
          </w:tcPr>
          <w:p w14:paraId="1144666B">
            <w:pPr>
              <w:keepNext w:val="0"/>
              <w:keepLines w:val="0"/>
              <w:widowControl/>
              <w:suppressLineNumbers w:val="0"/>
              <w:shd w:val="clear"/>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三类工业用地</w:t>
            </w:r>
          </w:p>
        </w:tc>
        <w:tc>
          <w:tcPr>
            <w:tcW w:w="2767" w:type="dxa"/>
            <w:shd w:val="clear" w:color="auto" w:fill="auto"/>
            <w:noWrap/>
            <w:vAlign w:val="center"/>
          </w:tcPr>
          <w:p w14:paraId="6023DA29">
            <w:pPr>
              <w:keepNext w:val="0"/>
              <w:keepLines w:val="0"/>
              <w:widowControl/>
              <w:suppressLineNumbers w:val="0"/>
              <w:shd w:val="clear"/>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2.7746</w:t>
            </w:r>
          </w:p>
        </w:tc>
        <w:tc>
          <w:tcPr>
            <w:tcW w:w="2688" w:type="dxa"/>
            <w:shd w:val="clear" w:color="auto" w:fill="auto"/>
            <w:noWrap/>
            <w:vAlign w:val="center"/>
          </w:tcPr>
          <w:p w14:paraId="056F18FA">
            <w:pPr>
              <w:keepNext w:val="0"/>
              <w:keepLines w:val="0"/>
              <w:widowControl/>
              <w:suppressLineNumbers w:val="0"/>
              <w:shd w:val="clear"/>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59.70%</w:t>
            </w:r>
          </w:p>
        </w:tc>
      </w:tr>
      <w:tr w14:paraId="56BF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shd w:val="clear" w:color="auto" w:fill="auto"/>
            <w:vAlign w:val="center"/>
          </w:tcPr>
          <w:p w14:paraId="2EDF28E2">
            <w:pPr>
              <w:keepNext w:val="0"/>
              <w:keepLines w:val="0"/>
              <w:widowControl/>
              <w:suppressLineNumbers w:val="0"/>
              <w:shd w:val="clear"/>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城镇村道路用地</w:t>
            </w:r>
          </w:p>
        </w:tc>
        <w:tc>
          <w:tcPr>
            <w:tcW w:w="2767" w:type="dxa"/>
            <w:shd w:val="clear" w:color="auto" w:fill="auto"/>
            <w:noWrap/>
            <w:vAlign w:val="center"/>
          </w:tcPr>
          <w:p w14:paraId="29531B81">
            <w:pPr>
              <w:keepNext w:val="0"/>
              <w:keepLines w:val="0"/>
              <w:widowControl/>
              <w:suppressLineNumbers w:val="0"/>
              <w:shd w:val="clear"/>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0.3582</w:t>
            </w:r>
          </w:p>
        </w:tc>
        <w:tc>
          <w:tcPr>
            <w:tcW w:w="2688" w:type="dxa"/>
            <w:shd w:val="clear" w:color="auto" w:fill="auto"/>
            <w:noWrap/>
            <w:vAlign w:val="center"/>
          </w:tcPr>
          <w:p w14:paraId="0040B293">
            <w:pPr>
              <w:keepNext w:val="0"/>
              <w:keepLines w:val="0"/>
              <w:widowControl/>
              <w:suppressLineNumbers w:val="0"/>
              <w:shd w:val="clear"/>
              <w:jc w:val="center"/>
              <w:textAlignment w:val="center"/>
              <w:rPr>
                <w:rFonts w:hint="eastAsia" w:ascii="宋体" w:hAnsi="宋体" w:eastAsia="宋体" w:cs="宋体"/>
                <w:b w:val="0"/>
                <w:bCs w:val="0"/>
                <w:i w:val="0"/>
                <w:iCs w:val="0"/>
                <w:color w:val="000000"/>
                <w:kern w:val="0"/>
                <w:sz w:val="22"/>
                <w:szCs w:val="22"/>
                <w:u w:val="none"/>
                <w:lang w:val="en-US" w:eastAsia="en-US" w:bidi="ar"/>
              </w:rPr>
            </w:pPr>
            <w:r>
              <w:rPr>
                <w:rFonts w:hint="eastAsia" w:ascii="Times New Roman" w:hAnsi="Times New Roman" w:eastAsia="仿宋" w:cs="黑体"/>
                <w:i w:val="0"/>
                <w:iCs w:val="0"/>
                <w:color w:val="auto"/>
                <w:kern w:val="0"/>
                <w:sz w:val="21"/>
                <w:szCs w:val="21"/>
                <w:highlight w:val="none"/>
                <w:u w:val="none"/>
                <w:lang w:val="en-US" w:eastAsia="zh-CN" w:bidi="ar"/>
              </w:rPr>
              <w:t>7.70%</w:t>
            </w:r>
          </w:p>
        </w:tc>
      </w:tr>
      <w:tr w14:paraId="57DA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shd w:val="clear" w:color="auto" w:fill="auto"/>
            <w:vAlign w:val="center"/>
          </w:tcPr>
          <w:p w14:paraId="574A686B">
            <w:pPr>
              <w:keepNext w:val="0"/>
              <w:keepLines w:val="0"/>
              <w:widowControl/>
              <w:suppressLineNumbers w:val="0"/>
              <w:shd w:val="clear"/>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社会停车场用地</w:t>
            </w:r>
          </w:p>
        </w:tc>
        <w:tc>
          <w:tcPr>
            <w:tcW w:w="2767" w:type="dxa"/>
            <w:shd w:val="clear" w:color="auto" w:fill="auto"/>
            <w:noWrap/>
            <w:vAlign w:val="center"/>
          </w:tcPr>
          <w:p w14:paraId="573546D0">
            <w:pPr>
              <w:keepNext w:val="0"/>
              <w:keepLines w:val="0"/>
              <w:widowControl/>
              <w:suppressLineNumbers w:val="0"/>
              <w:shd w:val="clear"/>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1.5151</w:t>
            </w:r>
          </w:p>
        </w:tc>
        <w:tc>
          <w:tcPr>
            <w:tcW w:w="2688" w:type="dxa"/>
            <w:shd w:val="clear" w:color="auto" w:fill="auto"/>
            <w:noWrap/>
            <w:vAlign w:val="center"/>
          </w:tcPr>
          <w:p w14:paraId="64035B84">
            <w:pPr>
              <w:keepNext w:val="0"/>
              <w:keepLines w:val="0"/>
              <w:widowControl/>
              <w:suppressLineNumbers w:val="0"/>
              <w:shd w:val="clear"/>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32.60%</w:t>
            </w:r>
          </w:p>
        </w:tc>
      </w:tr>
      <w:tr w14:paraId="6D6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shd w:val="clear" w:color="auto" w:fill="auto"/>
            <w:vAlign w:val="center"/>
          </w:tcPr>
          <w:p w14:paraId="760055CE">
            <w:pPr>
              <w:keepNext w:val="0"/>
              <w:keepLines w:val="0"/>
              <w:widowControl/>
              <w:suppressLineNumbers w:val="0"/>
              <w:shd w:val="clear"/>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总计</w:t>
            </w:r>
          </w:p>
        </w:tc>
        <w:tc>
          <w:tcPr>
            <w:tcW w:w="2767" w:type="dxa"/>
            <w:shd w:val="clear" w:color="auto" w:fill="auto"/>
            <w:noWrap/>
            <w:vAlign w:val="center"/>
          </w:tcPr>
          <w:p w14:paraId="5D15B610">
            <w:pPr>
              <w:keepNext w:val="0"/>
              <w:keepLines w:val="0"/>
              <w:widowControl/>
              <w:suppressLineNumbers w:val="0"/>
              <w:shd w:val="clear"/>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4.6479</w:t>
            </w:r>
          </w:p>
        </w:tc>
        <w:tc>
          <w:tcPr>
            <w:tcW w:w="2688" w:type="dxa"/>
            <w:shd w:val="clear" w:color="auto" w:fill="auto"/>
            <w:noWrap/>
            <w:vAlign w:val="center"/>
          </w:tcPr>
          <w:p w14:paraId="43C0978C">
            <w:pPr>
              <w:keepNext w:val="0"/>
              <w:keepLines w:val="0"/>
              <w:widowControl/>
              <w:suppressLineNumbers w:val="0"/>
              <w:shd w:val="clear"/>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i w:val="0"/>
                <w:iCs w:val="0"/>
                <w:color w:val="auto"/>
                <w:kern w:val="0"/>
                <w:sz w:val="21"/>
                <w:szCs w:val="21"/>
                <w:highlight w:val="none"/>
                <w:u w:val="none"/>
                <w:lang w:val="en-US" w:eastAsia="zh-CN" w:bidi="ar"/>
              </w:rPr>
              <w:t>100.00%</w:t>
            </w:r>
          </w:p>
        </w:tc>
      </w:tr>
    </w:tbl>
    <w:p w14:paraId="3AE81410">
      <w:pPr>
        <w:pStyle w:val="3"/>
        <w:keepNext w:val="0"/>
        <w:keepLines w:val="0"/>
        <w:pageBreakBefore w:val="0"/>
        <w:widowControl w:val="0"/>
        <w:shd w:val="clear"/>
        <w:kinsoku/>
        <w:wordWrap/>
        <w:overflowPunct/>
        <w:topLinePunct w:val="0"/>
        <w:autoSpaceDE/>
        <w:autoSpaceDN/>
        <w:bidi w:val="0"/>
        <w:adjustRightInd/>
        <w:snapToGrid/>
        <w:spacing w:before="0" w:beforeLines="5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bookmarkStart w:id="2" w:name="_Toc27721"/>
      <w:r>
        <w:rPr>
          <w:rFonts w:hint="eastAsia" w:ascii="Times New Roman" w:hAnsi="Times New Roman" w:eastAsia="仿宋"/>
          <w:color w:val="auto"/>
          <w:spacing w:val="0"/>
          <w:w w:val="100"/>
          <w:sz w:val="18"/>
          <w:szCs w:val="18"/>
          <w:highlight w:val="none"/>
          <w:lang w:eastAsia="zh-CN"/>
        </w:rPr>
        <w:drawing>
          <wp:inline distT="0" distB="0" distL="114300" distR="114300">
            <wp:extent cx="5274945" cy="3733800"/>
            <wp:effectExtent l="0" t="0" r="1905" b="0"/>
            <wp:docPr id="10" name="图片 10" descr="E:/土地征收成片开发/2025年度土地征收成片开发/2025年度第1批次金来矿业/5.图件/土地使用规划图.jpg土地使用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土地征收成片开发/2025年度土地征收成片开发/2025年度第1批次金来矿业/5.图件/土地使用规划图.jpg土地使用规划图"/>
                    <pic:cNvPicPr>
                      <a:picLocks noChangeAspect="1"/>
                    </pic:cNvPicPr>
                  </pic:nvPicPr>
                  <pic:blipFill>
                    <a:blip r:embed="rId9"/>
                    <a:srcRect l="17" r="17"/>
                    <a:stretch>
                      <a:fillRect/>
                    </a:stretch>
                  </pic:blipFill>
                  <pic:spPr>
                    <a:xfrm>
                      <a:off x="0" y="0"/>
                      <a:ext cx="5274945" cy="3733800"/>
                    </a:xfrm>
                    <a:prstGeom prst="rect">
                      <a:avLst/>
                    </a:prstGeom>
                  </pic:spPr>
                </pic:pic>
              </a:graphicData>
            </a:graphic>
          </wp:inline>
        </w:drawing>
      </w:r>
    </w:p>
    <w:p w14:paraId="482F966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图4  </w:t>
      </w:r>
      <w:r>
        <w:rPr>
          <w:rFonts w:hint="eastAsia" w:ascii="Times New Roman" w:hAnsi="Times New Roman" w:eastAsia="仿宋"/>
          <w:color w:val="auto"/>
          <w:spacing w:val="0"/>
          <w:w w:val="100"/>
          <w:sz w:val="24"/>
          <w:szCs w:val="24"/>
          <w:highlight w:val="none"/>
          <w:lang w:eastAsia="zh-CN"/>
        </w:rPr>
        <w:t>庄河市202</w:t>
      </w:r>
      <w:r>
        <w:rPr>
          <w:rFonts w:hint="eastAsia" w:ascii="Times New Roman" w:hAnsi="Times New Roman" w:eastAsia="仿宋"/>
          <w:color w:val="auto"/>
          <w:spacing w:val="0"/>
          <w:w w:val="100"/>
          <w:sz w:val="24"/>
          <w:szCs w:val="24"/>
          <w:highlight w:val="none"/>
          <w:shd w:val="clear"/>
          <w:lang w:eastAsia="zh-CN"/>
        </w:rPr>
        <w:t>5年度第1批次</w:t>
      </w:r>
      <w:r>
        <w:rPr>
          <w:rFonts w:hint="eastAsia" w:ascii="Times New Roman" w:hAnsi="Times New Roman" w:eastAsia="仿宋"/>
          <w:color w:val="auto"/>
          <w:spacing w:val="0"/>
          <w:w w:val="100"/>
          <w:sz w:val="24"/>
          <w:szCs w:val="24"/>
          <w:highlight w:val="none"/>
          <w:shd w:val="clear"/>
          <w:lang w:val="en-US" w:eastAsia="zh-CN"/>
        </w:rPr>
        <w:t>土地</w:t>
      </w:r>
      <w:r>
        <w:rPr>
          <w:rFonts w:hint="eastAsia" w:ascii="Times New Roman" w:hAnsi="Times New Roman" w:eastAsia="仿宋"/>
          <w:color w:val="auto"/>
          <w:spacing w:val="0"/>
          <w:w w:val="100"/>
          <w:sz w:val="24"/>
          <w:szCs w:val="24"/>
          <w:highlight w:val="none"/>
          <w:lang w:val="en-US" w:eastAsia="zh-CN"/>
        </w:rPr>
        <w:t>使用规划图</w:t>
      </w:r>
    </w:p>
    <w:p w14:paraId="64B59E42">
      <w:pPr>
        <w:pStyle w:val="3"/>
        <w:keepNext w:val="0"/>
        <w:keepLines w:val="0"/>
        <w:pageBreakBefore w:val="0"/>
        <w:kinsoku/>
        <w:wordWrap/>
        <w:overflowPunct/>
        <w:topLinePunct w:val="0"/>
        <w:autoSpaceDE/>
        <w:autoSpaceDN/>
        <w:bidi w:val="0"/>
        <w:adjustRightInd/>
        <w:snapToGrid/>
        <w:spacing w:before="0" w:line="560" w:lineRule="exact"/>
        <w:ind w:left="0" w:leftChars="0" w:firstLine="0" w:firstLineChars="0"/>
        <w:jc w:val="both"/>
        <w:textAlignment w:val="auto"/>
        <w:rPr>
          <w:rFonts w:ascii="仿宋" w:hAnsi="仿宋" w:eastAsia="仿宋"/>
          <w:b/>
          <w:spacing w:val="-73"/>
          <w:lang w:eastAsia="zh-CN"/>
        </w:rPr>
      </w:pPr>
      <w:r>
        <w:rPr>
          <w:rFonts w:hint="eastAsia" w:ascii="黑体" w:hAnsi="黑体" w:eastAsia="黑体"/>
          <w:sz w:val="24"/>
          <w:szCs w:val="24"/>
          <w:highlight w:val="none"/>
          <w:lang w:val="en-US" w:eastAsia="zh-CN"/>
        </w:rPr>
        <w:t xml:space="preserve"> </w:t>
      </w:r>
      <w:r>
        <w:rPr>
          <w:rFonts w:hint="eastAsia" w:ascii="仿宋" w:hAnsi="仿宋" w:eastAsia="仿宋"/>
          <w:b/>
          <w:lang w:val="en-US" w:eastAsia="zh-CN"/>
        </w:rPr>
        <w:t>三</w:t>
      </w:r>
      <w:r>
        <w:rPr>
          <w:rFonts w:hint="eastAsia" w:ascii="仿宋" w:hAnsi="仿宋" w:eastAsia="仿宋"/>
          <w:b/>
          <w:lang w:eastAsia="zh-CN"/>
        </w:rPr>
        <w:t>、政策性</w:t>
      </w:r>
      <w:r>
        <w:rPr>
          <w:rFonts w:ascii="仿宋" w:hAnsi="仿宋" w:eastAsia="仿宋"/>
          <w:b/>
          <w:lang w:eastAsia="zh-CN"/>
        </w:rPr>
        <w:t>分析</w:t>
      </w:r>
      <w:bookmarkEnd w:id="2"/>
      <w:r>
        <w:rPr>
          <w:rFonts w:ascii="仿宋" w:hAnsi="仿宋" w:eastAsia="仿宋"/>
          <w:b/>
          <w:spacing w:val="-73"/>
          <w:lang w:eastAsia="zh-CN"/>
        </w:rPr>
        <w:t xml:space="preserve"> </w:t>
      </w:r>
    </w:p>
    <w:p w14:paraId="4FAE92B5">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Times New Roman" w:hAnsi="Times New Roman" w:eastAsia="仿宋" w:cstheme="minorBidi"/>
          <w:color w:val="auto"/>
          <w:spacing w:val="0"/>
          <w:w w:val="100"/>
          <w:sz w:val="28"/>
          <w:szCs w:val="28"/>
          <w:highlight w:val="none"/>
          <w:lang w:val="en-US" w:eastAsia="zh-CN" w:bidi="ar-SA"/>
        </w:rPr>
        <w:t>符合国民经济和社会发展规划、年度计划情况</w:t>
      </w:r>
    </w:p>
    <w:p w14:paraId="216E9B6C">
      <w:pPr>
        <w:keepNext w:val="0"/>
        <w:keepLines w:val="0"/>
        <w:pageBreakBefore w:val="0"/>
        <w:kinsoku/>
        <w:wordWrap/>
        <w:overflowPunct/>
        <w:topLinePunct w:val="0"/>
        <w:autoSpaceDE/>
        <w:autoSpaceDN/>
        <w:bidi w:val="0"/>
        <w:adjustRightInd/>
        <w:snapToGrid/>
        <w:spacing w:line="560" w:lineRule="exact"/>
        <w:ind w:left="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Times New Roman" w:hAnsi="Times New Roman" w:eastAsia="仿宋"/>
          <w:color w:val="auto"/>
          <w:spacing w:val="0"/>
          <w:sz w:val="28"/>
          <w:szCs w:val="28"/>
          <w:highlight w:val="none"/>
          <w:lang w:val="en-US" w:eastAsia="zh-CN"/>
        </w:rPr>
        <w:t>项目满足《庄河市国民经济和社会发展第十四个五年规划和二〇三五年远景目标纲要》要求</w:t>
      </w:r>
      <w:r>
        <w:rPr>
          <w:rFonts w:hint="eastAsia" w:ascii="仿宋" w:hAnsi="仿宋" w:eastAsia="仿宋"/>
          <w:color w:val="000000" w:themeColor="text1"/>
          <w:sz w:val="28"/>
          <w:szCs w:val="28"/>
          <w:lang w:val="en-US" w:eastAsia="zh-CN"/>
          <w14:textFill>
            <w14:solidFill>
              <w14:schemeClr w14:val="tx1"/>
            </w14:solidFill>
          </w14:textFill>
        </w:rPr>
        <w:t>。</w:t>
      </w:r>
    </w:p>
    <w:p w14:paraId="1E4F6592">
      <w:pPr>
        <w:keepNext w:val="0"/>
        <w:keepLines w:val="0"/>
        <w:pageBreakBefore w:val="0"/>
        <w:shd w:val="clear"/>
        <w:kinsoku/>
        <w:wordWrap/>
        <w:overflowPunct/>
        <w:topLinePunct w:val="0"/>
        <w:autoSpaceDE/>
        <w:autoSpaceDN/>
        <w:bidi w:val="0"/>
        <w:adjustRightInd/>
        <w:snapToGrid/>
        <w:spacing w:line="560" w:lineRule="exact"/>
        <w:ind w:left="0" w:leftChars="0" w:right="0" w:firstLine="560" w:firstLineChars="200"/>
        <w:jc w:val="both"/>
        <w:textAlignment w:val="auto"/>
        <w:rPr>
          <w:rFonts w:hint="eastAsia" w:ascii="仿宋" w:hAnsi="仿宋" w:eastAsia="仿宋"/>
          <w:color w:val="auto"/>
          <w:sz w:val="28"/>
          <w:szCs w:val="28"/>
          <w:lang w:val="en-US" w:eastAsia="zh-CN"/>
        </w:rPr>
      </w:pPr>
      <w:r>
        <w:rPr>
          <w:rFonts w:hint="eastAsia" w:ascii="Times New Roman" w:hAnsi="Times New Roman" w:eastAsia="仿宋"/>
          <w:color w:val="auto"/>
          <w:spacing w:val="0"/>
          <w:w w:val="100"/>
          <w:sz w:val="28"/>
          <w:szCs w:val="28"/>
          <w:highlight w:val="none"/>
          <w:shd w:val="clear"/>
          <w:lang w:val="en-US" w:eastAsia="zh-CN"/>
        </w:rPr>
        <w:t>方案</w:t>
      </w:r>
      <w:r>
        <w:rPr>
          <w:rFonts w:hint="eastAsia" w:ascii="仿宋" w:hAnsi="仿宋" w:eastAsia="仿宋"/>
          <w:color w:val="auto"/>
          <w:sz w:val="28"/>
          <w:szCs w:val="28"/>
          <w:shd w:val="clear"/>
          <w:lang w:val="en-US" w:eastAsia="zh-CN"/>
        </w:rPr>
        <w:t>已纳入</w:t>
      </w:r>
      <w:r>
        <w:rPr>
          <w:rFonts w:hint="eastAsia" w:ascii="Times New Roman" w:hAnsi="Times New Roman" w:eastAsia="仿宋"/>
          <w:color w:val="auto"/>
          <w:spacing w:val="0"/>
          <w:w w:val="100"/>
          <w:sz w:val="28"/>
          <w:szCs w:val="28"/>
          <w:highlight w:val="none"/>
          <w:shd w:val="clear"/>
          <w:lang w:val="en-US" w:eastAsia="zh-CN"/>
        </w:rPr>
        <w:t>2025年庄河市国</w:t>
      </w:r>
      <w:r>
        <w:rPr>
          <w:rFonts w:hint="eastAsia" w:ascii="Times New Roman" w:hAnsi="Times New Roman" w:eastAsia="仿宋"/>
          <w:color w:val="auto"/>
          <w:spacing w:val="0"/>
          <w:w w:val="100"/>
          <w:sz w:val="28"/>
          <w:szCs w:val="28"/>
          <w:highlight w:val="none"/>
          <w:lang w:val="en-US" w:eastAsia="zh-CN"/>
        </w:rPr>
        <w:t>民经济和社会发展年度计划。符合规划的发展定位要求，符合对土地征收成片开发范围的空间布局，有利于完成规划目标任务。</w:t>
      </w:r>
    </w:p>
    <w:p w14:paraId="1F83C3B8">
      <w:pPr>
        <w:pStyle w:val="3"/>
        <w:keepNext w:val="0"/>
        <w:keepLines w:val="0"/>
        <w:pageBreakBefore w:val="0"/>
        <w:numPr>
          <w:ilvl w:val="0"/>
          <w:numId w:val="0"/>
        </w:numPr>
        <w:kinsoku/>
        <w:wordWrap/>
        <w:overflowPunct/>
        <w:topLinePunct w:val="0"/>
        <w:autoSpaceDE/>
        <w:autoSpaceDN/>
        <w:bidi w:val="0"/>
        <w:adjustRightInd/>
        <w:snapToGrid/>
        <w:spacing w:before="0" w:line="560" w:lineRule="exact"/>
        <w:ind w:left="0" w:leftChars="0" w:right="0" w:rightChars="0" w:firstLine="560" w:firstLineChars="200"/>
        <w:textAlignment w:val="auto"/>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2、国土空间规划</w:t>
      </w:r>
    </w:p>
    <w:p w14:paraId="41D64428">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imes New Roman" w:hAnsi="Times New Roman" w:eastAsia="仿宋" w:cs="仿宋"/>
          <w:b w:val="0"/>
          <w:color w:val="auto"/>
          <w:spacing w:val="0"/>
          <w:w w:val="100"/>
          <w:sz w:val="28"/>
          <w:szCs w:val="28"/>
          <w:highlight w:val="none"/>
          <w:shd w:val="clear"/>
          <w:lang w:val="en-US" w:eastAsia="zh-CN" w:bidi="ar-SA"/>
        </w:rPr>
      </w:pPr>
      <w:r>
        <w:rPr>
          <w:rFonts w:hint="eastAsia" w:ascii="Times New Roman" w:hAnsi="Times New Roman" w:eastAsia="仿宋" w:cs="仿宋"/>
          <w:b w:val="0"/>
          <w:color w:val="auto"/>
          <w:spacing w:val="0"/>
          <w:w w:val="100"/>
          <w:sz w:val="28"/>
          <w:szCs w:val="28"/>
          <w:highlight w:val="none"/>
          <w:shd w:val="clear"/>
          <w:lang w:val="en-US" w:eastAsia="zh-CN" w:bidi="ar-SA"/>
        </w:rPr>
        <w:t>该成片开发范围已纳入经批准的庄河市国土空间规划确定的城镇建设用地范围内，符合国土空间规划管控规则。不涉及各级自然保护区、不涉及生态保护红线、不涉及占用永久基本农田。项目所在地兰店乡人民政府确保项目布局和规模将统筹纳入规划期至2035年的兰店乡国土空间总体规划。</w:t>
      </w:r>
    </w:p>
    <w:p w14:paraId="1E03637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公益性用地比例</w:t>
      </w:r>
    </w:p>
    <w:p w14:paraId="7B11D40F">
      <w:pPr>
        <w:pStyle w:val="3"/>
        <w:keepNext w:val="0"/>
        <w:keepLines w:val="0"/>
        <w:pageBreakBefore w:val="0"/>
        <w:kinsoku/>
        <w:wordWrap/>
        <w:overflowPunct/>
        <w:topLinePunct w:val="0"/>
        <w:autoSpaceDE/>
        <w:autoSpaceDN/>
        <w:bidi w:val="0"/>
        <w:adjustRightInd/>
        <w:snapToGrid/>
        <w:spacing w:before="0" w:line="560" w:lineRule="exact"/>
        <w:ind w:left="0" w:right="0" w:firstLine="560" w:firstLineChars="200"/>
        <w:textAlignment w:val="auto"/>
        <w:rPr>
          <w:rFonts w:hint="eastAsia" w:ascii="仿宋" w:hAnsi="仿宋" w:eastAsia="仿宋"/>
          <w:spacing w:val="-4"/>
          <w:highlight w:val="none"/>
          <w:lang w:eastAsia="zh-CN"/>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庄河市土地征收成片开发方案（2025年度第1批次）公益性用地面积占成片开发土地总面积的</w:t>
      </w:r>
      <w:r>
        <w:rPr>
          <w:rFonts w:hint="eastAsia" w:ascii="Times New Roman" w:hAnsi="Times New Roman" w:eastAsia="仿宋" w:cstheme="minorBidi"/>
          <w:color w:val="auto"/>
          <w:spacing w:val="0"/>
          <w:w w:val="100"/>
          <w:sz w:val="28"/>
          <w:szCs w:val="28"/>
          <w:highlight w:val="none"/>
          <w:lang w:val="en-US" w:eastAsia="zh-CN" w:bidi="ar-SA"/>
        </w:rPr>
        <w:t>40.30</w:t>
      </w:r>
      <w:r>
        <w:rPr>
          <w:rFonts w:hint="eastAsia" w:ascii="仿宋" w:hAnsi="仿宋" w:eastAsia="仿宋" w:cstheme="minorBidi"/>
          <w:color w:val="000000" w:themeColor="text1"/>
          <w:kern w:val="0"/>
          <w:sz w:val="28"/>
          <w:szCs w:val="28"/>
          <w:highlight w:val="none"/>
          <w:shd w:val="clear"/>
          <w:lang w:val="en-US" w:eastAsia="zh-CN" w:bidi="ar-SA"/>
          <w14:textFill>
            <w14:solidFill>
              <w14:schemeClr w14:val="tx1"/>
            </w14:solidFill>
          </w14:textFill>
        </w:rPr>
        <w:t>%,</w:t>
      </w:r>
      <w:r>
        <w:rPr>
          <w:rFonts w:hint="eastAsia" w:ascii="仿宋" w:hAnsi="仿宋" w:eastAsia="仿宋"/>
          <w:spacing w:val="-4"/>
          <w:highlight w:val="none"/>
          <w:shd w:val="clear"/>
          <w:lang w:eastAsia="zh-CN"/>
        </w:rPr>
        <w:t>符合</w:t>
      </w:r>
      <w:r>
        <w:rPr>
          <w:rFonts w:hint="eastAsia" w:ascii="仿宋" w:hAnsi="仿宋" w:eastAsia="仿宋"/>
          <w:spacing w:val="-4"/>
          <w:highlight w:val="none"/>
          <w:lang w:eastAsia="zh-CN"/>
        </w:rPr>
        <w:t>公益性用地占比不低</w:t>
      </w:r>
      <w:r>
        <w:rPr>
          <w:rFonts w:hint="eastAsia" w:ascii="仿宋" w:hAnsi="仿宋" w:eastAsia="仿宋"/>
          <w:spacing w:val="-4"/>
          <w:highlight w:val="none"/>
          <w:lang w:val="en-US" w:eastAsia="zh-CN"/>
        </w:rPr>
        <w:t>于</w:t>
      </w:r>
      <w:r>
        <w:rPr>
          <w:rFonts w:hint="eastAsia" w:ascii="仿宋" w:hAnsi="仿宋" w:eastAsia="仿宋"/>
          <w:spacing w:val="-4"/>
          <w:highlight w:val="none"/>
          <w:lang w:eastAsia="zh-CN"/>
        </w:rPr>
        <w:t>40%的要求。</w:t>
      </w:r>
    </w:p>
    <w:p w14:paraId="25EDA4B0">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bookmarkStart w:id="3" w:name="_Toc2651"/>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4、批而未供或闲置土地情况</w:t>
      </w:r>
      <w:bookmarkEnd w:id="3"/>
    </w:p>
    <w:p w14:paraId="0CA805FE">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Times New Roman" w:hAnsi="Times New Roman" w:eastAsia="仿宋" w:cs="仿宋"/>
          <w:b w:val="0"/>
          <w:color w:val="auto"/>
          <w:spacing w:val="0"/>
          <w:sz w:val="28"/>
          <w:szCs w:val="28"/>
          <w:highlight w:val="none"/>
          <w:lang w:val="en-US" w:eastAsia="zh-CN" w:bidi="ar-SA"/>
        </w:rPr>
      </w:pPr>
      <w:bookmarkStart w:id="4" w:name="_Toc32662"/>
      <w:r>
        <w:rPr>
          <w:rFonts w:hint="eastAsia" w:ascii="Times New Roman" w:hAnsi="Times New Roman" w:eastAsia="仿宋" w:cs="仿宋"/>
          <w:b w:val="0"/>
          <w:color w:val="auto"/>
          <w:spacing w:val="0"/>
          <w:sz w:val="28"/>
          <w:szCs w:val="28"/>
          <w:highlight w:val="none"/>
          <w:shd w:val="clear"/>
          <w:lang w:val="en-US" w:eastAsia="zh-CN" w:bidi="ar-SA"/>
        </w:rPr>
        <w:t>上级下达庄河市上一年度批而未供土地处置任务236.9公顷、闲置土地处置任务95.95公顷，预计本年度可完成下达化解任务。</w:t>
      </w:r>
    </w:p>
    <w:p w14:paraId="6A723003">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5、开发区土地利用情况</w:t>
      </w:r>
      <w:bookmarkEnd w:id="4"/>
    </w:p>
    <w:p w14:paraId="04B107CC">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line="560" w:lineRule="exact"/>
        <w:ind w:right="0" w:rightChars="0" w:firstLine="560" w:firstLineChars="200"/>
        <w:textAlignment w:val="auto"/>
        <w:outlineLvl w:val="9"/>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本次土地征收成片开发范围选址不占用开发区土地。</w:t>
      </w:r>
    </w:p>
    <w:p w14:paraId="13390FDC">
      <w:pPr>
        <w:pStyle w:val="3"/>
        <w:numPr>
          <w:ilvl w:val="0"/>
          <w:numId w:val="0"/>
        </w:numPr>
        <w:shd w:val="clear"/>
        <w:spacing w:before="0" w:line="360" w:lineRule="auto"/>
        <w:ind w:leftChars="200" w:right="14" w:rightChars="0"/>
        <w:outlineLvl w:val="0"/>
        <w:rPr>
          <w:rFonts w:hint="eastAsia" w:ascii="仿宋" w:hAnsi="仿宋" w:eastAsia="仿宋"/>
          <w:b/>
          <w:spacing w:val="-4"/>
          <w:lang w:val="en-US" w:eastAsia="zh-CN"/>
        </w:rPr>
        <w:sectPr>
          <w:footerReference r:id="rId4" w:type="default"/>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5" w:name="_Toc10352"/>
    </w:p>
    <w:p w14:paraId="031C9DE5">
      <w:pPr>
        <w:pStyle w:val="3"/>
        <w:keepNext w:val="0"/>
        <w:keepLines w:val="0"/>
        <w:pageBreakBefore w:val="0"/>
        <w:numPr>
          <w:ilvl w:val="0"/>
          <w:numId w:val="0"/>
        </w:numPr>
        <w:shd w:val="clear"/>
        <w:kinsoku/>
        <w:wordWrap/>
        <w:overflowPunct/>
        <w:topLinePunct w:val="0"/>
        <w:autoSpaceDE/>
        <w:autoSpaceDN/>
        <w:bidi w:val="0"/>
        <w:adjustRightInd/>
        <w:snapToGrid/>
        <w:spacing w:before="0" w:line="360" w:lineRule="auto"/>
        <w:ind w:leftChars="0" w:right="0" w:rightChars="0" w:firstLine="546" w:firstLineChars="200"/>
        <w:textAlignment w:val="auto"/>
        <w:outlineLvl w:val="0"/>
        <w:rPr>
          <w:rFonts w:ascii="仿宋" w:hAnsi="仿宋" w:eastAsia="仿宋"/>
          <w:b/>
          <w:spacing w:val="-4"/>
          <w:lang w:eastAsia="zh-CN"/>
        </w:rPr>
      </w:pPr>
      <w:r>
        <w:rPr>
          <w:rFonts w:hint="eastAsia" w:ascii="仿宋" w:hAnsi="仿宋" w:eastAsia="仿宋"/>
          <w:b/>
          <w:spacing w:val="-4"/>
          <w:lang w:val="en-US" w:eastAsia="zh-CN"/>
        </w:rPr>
        <w:t>四</w:t>
      </w:r>
      <w:r>
        <w:rPr>
          <w:rFonts w:hint="eastAsia" w:ascii="仿宋" w:hAnsi="仿宋" w:eastAsia="仿宋"/>
          <w:b/>
          <w:spacing w:val="-4"/>
          <w:lang w:eastAsia="zh-CN"/>
        </w:rPr>
        <w:t>、土地征收成片开发实施计划</w:t>
      </w:r>
      <w:bookmarkEnd w:id="5"/>
    </w:p>
    <w:p w14:paraId="3CBDC856">
      <w:pPr>
        <w:keepNext w:val="0"/>
        <w:keepLines w:val="0"/>
        <w:pageBreakBefore w:val="0"/>
        <w:widowControl/>
        <w:suppressLineNumbers w:val="0"/>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6" w:name="_Toc30788"/>
      <w:r>
        <w:rPr>
          <w:rFonts w:hint="eastAsia" w:ascii="仿宋" w:hAnsi="仿宋" w:eastAsia="仿宋" w:cstheme="minorBidi"/>
          <w:color w:val="auto"/>
          <w:spacing w:val="-4"/>
          <w:sz w:val="28"/>
          <w:szCs w:val="28"/>
          <w:lang w:val="en-US" w:eastAsia="zh-CN" w:bidi="ar-SA"/>
        </w:rPr>
        <w:t>1、成片开发期限</w:t>
      </w:r>
      <w:bookmarkEnd w:id="6"/>
      <w:r>
        <w:rPr>
          <w:rFonts w:hint="eastAsia" w:ascii="仿宋" w:hAnsi="仿宋" w:eastAsia="仿宋" w:cstheme="minorBidi"/>
          <w:color w:val="auto"/>
          <w:spacing w:val="-4"/>
          <w:sz w:val="28"/>
          <w:szCs w:val="28"/>
          <w:lang w:val="en-US" w:eastAsia="zh-CN" w:bidi="ar-SA"/>
        </w:rPr>
        <w:t xml:space="preserve"> </w:t>
      </w:r>
    </w:p>
    <w:p w14:paraId="09C0CB77">
      <w:pPr>
        <w:keepNext w:val="0"/>
        <w:keepLines w:val="0"/>
        <w:pageBreakBefore w:val="0"/>
        <w:widowControl/>
        <w:suppressLineNumbers w:val="0"/>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r>
        <w:rPr>
          <w:rFonts w:hint="eastAsia" w:ascii="仿宋" w:hAnsi="仿宋" w:eastAsia="仿宋" w:cstheme="minorBidi"/>
          <w:color w:val="auto"/>
          <w:spacing w:val="-4"/>
          <w:sz w:val="28"/>
          <w:szCs w:val="28"/>
          <w:lang w:val="en-US" w:eastAsia="zh-CN" w:bidi="ar-SA"/>
        </w:rPr>
        <w:t>本成片开发区域的开发期限初步定为1</w:t>
      </w:r>
      <w:r>
        <w:rPr>
          <w:rFonts w:hint="default" w:ascii="仿宋" w:hAnsi="仿宋" w:eastAsia="仿宋" w:cstheme="minorBidi"/>
          <w:color w:val="auto"/>
          <w:spacing w:val="-4"/>
          <w:sz w:val="28"/>
          <w:szCs w:val="28"/>
          <w:lang w:val="en-US" w:eastAsia="zh-CN" w:bidi="ar-SA"/>
        </w:rPr>
        <w:t>年，具体为</w:t>
      </w:r>
      <w:r>
        <w:rPr>
          <w:rFonts w:hint="eastAsia" w:ascii="仿宋" w:hAnsi="仿宋" w:eastAsia="仿宋" w:cstheme="minorBidi"/>
          <w:color w:val="auto"/>
          <w:spacing w:val="-4"/>
          <w:sz w:val="28"/>
          <w:szCs w:val="28"/>
          <w:lang w:val="en-US" w:eastAsia="zh-CN" w:bidi="ar-SA"/>
        </w:rPr>
        <w:t>2025</w:t>
      </w:r>
      <w:r>
        <w:rPr>
          <w:rFonts w:hint="default" w:ascii="仿宋" w:hAnsi="仿宋" w:eastAsia="仿宋" w:cstheme="minorBidi"/>
          <w:color w:val="auto"/>
          <w:spacing w:val="-4"/>
          <w:sz w:val="28"/>
          <w:szCs w:val="28"/>
          <w:lang w:val="en-US" w:eastAsia="zh-CN" w:bidi="ar-SA"/>
        </w:rPr>
        <w:t>年1月至202</w:t>
      </w:r>
      <w:r>
        <w:rPr>
          <w:rFonts w:hint="eastAsia" w:ascii="仿宋" w:hAnsi="仿宋" w:eastAsia="仿宋" w:cstheme="minorBidi"/>
          <w:color w:val="auto"/>
          <w:spacing w:val="-4"/>
          <w:sz w:val="28"/>
          <w:szCs w:val="28"/>
          <w:lang w:val="en-US" w:eastAsia="zh-CN" w:bidi="ar-SA"/>
        </w:rPr>
        <w:t>5</w:t>
      </w:r>
      <w:r>
        <w:rPr>
          <w:rFonts w:hint="default" w:ascii="仿宋" w:hAnsi="仿宋" w:eastAsia="仿宋" w:cstheme="minorBidi"/>
          <w:color w:val="auto"/>
          <w:spacing w:val="-4"/>
          <w:sz w:val="28"/>
          <w:szCs w:val="28"/>
          <w:lang w:val="en-US" w:eastAsia="zh-CN" w:bidi="ar-SA"/>
        </w:rPr>
        <w:t>年</w:t>
      </w:r>
      <w:r>
        <w:rPr>
          <w:rFonts w:hint="eastAsia" w:ascii="仿宋" w:hAnsi="仿宋" w:eastAsia="仿宋" w:cstheme="minorBidi"/>
          <w:color w:val="auto"/>
          <w:spacing w:val="-4"/>
          <w:sz w:val="28"/>
          <w:szCs w:val="28"/>
          <w:lang w:val="en-US" w:eastAsia="zh-CN" w:bidi="ar-SA"/>
        </w:rPr>
        <w:t>12</w:t>
      </w:r>
      <w:r>
        <w:rPr>
          <w:rFonts w:hint="default" w:ascii="仿宋" w:hAnsi="仿宋" w:eastAsia="仿宋" w:cstheme="minorBidi"/>
          <w:color w:val="auto"/>
          <w:spacing w:val="-4"/>
          <w:sz w:val="28"/>
          <w:szCs w:val="28"/>
          <w:lang w:val="en-US" w:eastAsia="zh-CN" w:bidi="ar-SA"/>
        </w:rPr>
        <w:t>月</w:t>
      </w:r>
      <w:r>
        <w:rPr>
          <w:rFonts w:hint="eastAsia" w:ascii="仿宋" w:hAnsi="仿宋" w:eastAsia="仿宋" w:cstheme="minorBidi"/>
          <w:color w:val="auto"/>
          <w:spacing w:val="-4"/>
          <w:sz w:val="28"/>
          <w:szCs w:val="28"/>
          <w:lang w:val="en-US" w:eastAsia="zh-CN" w:bidi="ar-SA"/>
        </w:rPr>
        <w:t>。</w:t>
      </w:r>
    </w:p>
    <w:p w14:paraId="08219BEE">
      <w:pPr>
        <w:keepNext w:val="0"/>
        <w:keepLines w:val="0"/>
        <w:pageBreakBefore w:val="0"/>
        <w:widowControl/>
        <w:suppressLineNumbers w:val="0"/>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7" w:name="_Toc4530"/>
      <w:r>
        <w:rPr>
          <w:rFonts w:hint="eastAsia" w:ascii="仿宋" w:hAnsi="仿宋" w:eastAsia="仿宋" w:cstheme="minorBidi"/>
          <w:color w:val="auto"/>
          <w:spacing w:val="-4"/>
          <w:sz w:val="28"/>
          <w:szCs w:val="28"/>
          <w:lang w:val="en-US" w:eastAsia="zh-CN" w:bidi="ar-SA"/>
        </w:rPr>
        <w:t>2、开发时序</w:t>
      </w:r>
      <w:bookmarkEnd w:id="7"/>
    </w:p>
    <w:tbl>
      <w:tblPr>
        <w:tblStyle w:val="7"/>
        <w:tblW w:w="7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1281"/>
        <w:gridCol w:w="2113"/>
        <w:gridCol w:w="1462"/>
        <w:gridCol w:w="1800"/>
      </w:tblGrid>
      <w:tr w14:paraId="1785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460" w:type="dxa"/>
            <w:gridSpan w:val="5"/>
            <w:shd w:val="clear" w:color="auto" w:fill="auto"/>
            <w:vAlign w:val="center"/>
          </w:tcPr>
          <w:p w14:paraId="1301D6AE">
            <w:pPr>
              <w:keepNext w:val="0"/>
              <w:keepLines w:val="0"/>
              <w:widowControl/>
              <w:suppressLineNumbers w:val="0"/>
              <w:jc w:val="center"/>
              <w:textAlignment w:val="center"/>
              <w:rPr>
                <w:rStyle w:val="12"/>
                <w:lang w:val="en-US" w:eastAsia="zh-CN" w:bidi="ar"/>
              </w:rPr>
            </w:pPr>
            <w:r>
              <w:rPr>
                <w:rFonts w:hint="eastAsia" w:ascii="Times New Roman" w:hAnsi="Times New Roman" w:eastAsia="黑体"/>
                <w:color w:val="auto"/>
                <w:sz w:val="24"/>
                <w:szCs w:val="24"/>
                <w:highlight w:val="none"/>
                <w:lang w:val="en-US" w:eastAsia="zh-CN"/>
              </w:rPr>
              <w:t xml:space="preserve">表4  </w:t>
            </w:r>
            <w:r>
              <w:rPr>
                <w:rFonts w:hint="eastAsia" w:ascii="Times New Roman" w:hAnsi="Times New Roman" w:eastAsia="黑体"/>
                <w:color w:val="auto"/>
                <w:sz w:val="24"/>
                <w:szCs w:val="24"/>
                <w:highlight w:val="none"/>
                <w:lang w:eastAsia="zh-CN"/>
              </w:rPr>
              <w:t>庄河市2025年度第1批次开发时序情况统计表</w:t>
            </w:r>
          </w:p>
        </w:tc>
      </w:tr>
      <w:tr w14:paraId="195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60" w:type="dxa"/>
            <w:gridSpan w:val="5"/>
            <w:tcBorders>
              <w:bottom w:val="single" w:color="000000" w:sz="4" w:space="0"/>
            </w:tcBorders>
            <w:shd w:val="clear" w:color="auto" w:fill="auto"/>
            <w:vAlign w:val="center"/>
          </w:tcPr>
          <w:p w14:paraId="4977449D">
            <w:pPr>
              <w:keepNext w:val="0"/>
              <w:keepLines w:val="0"/>
              <w:widowControl/>
              <w:suppressLineNumbers w:val="0"/>
              <w:jc w:val="right"/>
              <w:textAlignment w:val="center"/>
              <w:rPr>
                <w:rStyle w:val="12"/>
                <w:lang w:val="en-US" w:eastAsia="zh-CN" w:bidi="ar"/>
              </w:rPr>
            </w:pPr>
            <w:r>
              <w:rPr>
                <w:rFonts w:hint="eastAsia" w:ascii="Times New Roman" w:hAnsi="Times New Roman" w:eastAsia="黑体"/>
                <w:color w:val="auto"/>
                <w:sz w:val="18"/>
                <w:szCs w:val="18"/>
                <w:highlight w:val="none"/>
                <w:lang w:eastAsia="zh-CN"/>
              </w:rPr>
              <w:t>单位：公顷，</w:t>
            </w:r>
            <w:r>
              <w:rPr>
                <w:rFonts w:hint="eastAsia" w:ascii="Times New Roman" w:hAnsi="Times New Roman" w:eastAsia="黑体"/>
                <w:color w:val="auto"/>
                <w:sz w:val="18"/>
                <w:szCs w:val="18"/>
                <w:highlight w:val="none"/>
                <w:lang w:val="en-US" w:eastAsia="zh-CN"/>
              </w:rPr>
              <w:t>%</w:t>
            </w:r>
          </w:p>
        </w:tc>
      </w:tr>
      <w:tr w14:paraId="4D31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实施年度</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B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项目名称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实施面积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3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征收比例</w:t>
            </w:r>
          </w:p>
        </w:tc>
      </w:tr>
      <w:tr w14:paraId="0C6E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8BB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 w:cs="宋体"/>
                <w:i w:val="0"/>
                <w:iCs w:val="0"/>
                <w:color w:val="000000"/>
                <w:kern w:val="0"/>
                <w:sz w:val="22"/>
                <w:szCs w:val="22"/>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395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 w:cs="宋体"/>
                <w:i w:val="0"/>
                <w:iCs w:val="0"/>
                <w:color w:val="000000"/>
                <w:kern w:val="0"/>
                <w:sz w:val="22"/>
                <w:szCs w:val="22"/>
                <w:u w:val="none"/>
                <w:lang w:val="en-US" w:eastAsia="zh-CN" w:bidi="ar"/>
              </w:rPr>
              <w:t>2025</w:t>
            </w:r>
            <w:r>
              <w:rPr>
                <w:rFonts w:hint="eastAsia" w:ascii="Times New Roman" w:hAnsi="Times New Roman" w:eastAsia="仿宋" w:cs="宋体"/>
                <w:i w:val="0"/>
                <w:iCs w:val="0"/>
                <w:color w:val="000000"/>
                <w:kern w:val="0"/>
                <w:sz w:val="22"/>
                <w:szCs w:val="22"/>
                <w:u w:val="none"/>
                <w:lang w:val="en-US" w:eastAsia="zh-CN" w:bidi="ar"/>
              </w:rPr>
              <w:t>年</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工业项目</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A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2.7714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5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59.67%</w:t>
            </w:r>
          </w:p>
        </w:tc>
      </w:tr>
      <w:tr w14:paraId="085A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C6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4D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基础设施</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1.8733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60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40.33%</w:t>
            </w:r>
          </w:p>
        </w:tc>
      </w:tr>
      <w:tr w14:paraId="2517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D4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F7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小计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4.6447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5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100.00%</w:t>
            </w:r>
          </w:p>
        </w:tc>
      </w:tr>
      <w:tr w14:paraId="4964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4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4C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总计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D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4.6447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8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100.00%</w:t>
            </w:r>
          </w:p>
        </w:tc>
      </w:tr>
    </w:tbl>
    <w:p w14:paraId="3269889C">
      <w:pPr>
        <w:pStyle w:val="3"/>
        <w:numPr>
          <w:ilvl w:val="0"/>
          <w:numId w:val="0"/>
        </w:numPr>
        <w:spacing w:before="0" w:line="360" w:lineRule="auto"/>
        <w:ind w:leftChars="200" w:right="14" w:rightChars="0"/>
        <w:outlineLvl w:val="0"/>
        <w:rPr>
          <w:rFonts w:hint="eastAsia" w:ascii="仿宋" w:hAnsi="仿宋" w:eastAsia="仿宋"/>
          <w:b/>
          <w:spacing w:val="-4"/>
          <w:lang w:val="en-US" w:eastAsia="zh-CN"/>
        </w:rPr>
      </w:pPr>
      <w:r>
        <w:rPr>
          <w:rFonts w:hint="eastAsia" w:ascii="仿宋" w:hAnsi="仿宋" w:eastAsia="仿宋"/>
          <w:b/>
          <w:spacing w:val="-4"/>
          <w:lang w:val="en-US" w:eastAsia="zh-CN"/>
        </w:rPr>
        <w:t>五、维护群众利益保障措施</w:t>
      </w:r>
    </w:p>
    <w:p w14:paraId="0E22BE0B">
      <w:pPr>
        <w:keepNext w:val="0"/>
        <w:keepLines w:val="0"/>
        <w:pageBreakBefore w:val="0"/>
        <w:widowControl/>
        <w:suppressLineNumbers w:val="0"/>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土地征收补偿主要包括土地补偿费、安置补助费以及地上附着物和青苗补偿费。土地征收前，庄河市政府相关部门根据征地情况拟定《征地补偿方案》，方案详细规定征地情况及补偿情况。</w:t>
      </w:r>
    </w:p>
    <w:p w14:paraId="35B0E121">
      <w:pPr>
        <w:pStyle w:val="2"/>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1、征地补偿标准</w:t>
      </w:r>
    </w:p>
    <w:p w14:paraId="7AAED73B">
      <w:pPr>
        <w:pStyle w:val="3"/>
        <w:keepNext w:val="0"/>
        <w:keepLines w:val="0"/>
        <w:pageBreakBefore w:val="0"/>
        <w:shd w:val="clear"/>
        <w:kinsoku/>
        <w:wordWrap/>
        <w:overflowPunct/>
        <w:topLinePunct w:val="0"/>
        <w:autoSpaceDE/>
        <w:autoSpaceDN/>
        <w:bidi w:val="0"/>
        <w:adjustRightInd/>
        <w:spacing w:before="0" w:line="360" w:lineRule="auto"/>
        <w:ind w:left="0" w:leftChars="0" w:right="0" w:firstLine="560" w:firstLineChars="200"/>
        <w:rPr>
          <w:rFonts w:hint="eastAsia" w:ascii="Times New Roman" w:hAnsi="Times New Roman" w:eastAsia="仿宋"/>
          <w:color w:val="auto"/>
          <w:spacing w:val="0"/>
          <w:w w:val="100"/>
          <w:highlight w:val="none"/>
          <w:lang w:eastAsia="zh-CN"/>
        </w:rPr>
      </w:pPr>
      <w:r>
        <w:rPr>
          <w:rFonts w:hint="eastAsia" w:ascii="Times New Roman" w:hAnsi="Times New Roman" w:eastAsia="仿宋"/>
          <w:color w:val="auto"/>
          <w:spacing w:val="0"/>
          <w:w w:val="100"/>
          <w:highlight w:val="none"/>
          <w:lang w:eastAsia="zh-CN"/>
        </w:rPr>
        <w:t>根据《大连市人民政府办公室关于公布实施大连市征地区片综合地价标准的通知》（</w:t>
      </w:r>
      <w:r>
        <w:rPr>
          <w:rFonts w:hint="eastAsia" w:ascii="Times New Roman" w:hAnsi="Times New Roman" w:eastAsia="仿宋"/>
          <w:color w:val="auto"/>
          <w:spacing w:val="0"/>
          <w:w w:val="100"/>
          <w:highlight w:val="none"/>
          <w:lang w:val="en-US" w:eastAsia="zh-CN"/>
        </w:rPr>
        <w:t>大政办发</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olor w:val="auto"/>
          <w:spacing w:val="0"/>
          <w:w w:val="100"/>
          <w:highlight w:val="none"/>
          <w:lang w:val="en-US" w:eastAsia="zh-CN"/>
        </w:rPr>
        <w:t>2023</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olor w:val="auto"/>
          <w:spacing w:val="0"/>
          <w:w w:val="100"/>
          <w:highlight w:val="none"/>
          <w:lang w:val="en-US" w:eastAsia="zh-CN"/>
        </w:rPr>
        <w:t>8</w:t>
      </w:r>
      <w:r>
        <w:rPr>
          <w:rFonts w:hint="eastAsia" w:ascii="Times New Roman" w:hAnsi="Times New Roman" w:eastAsia="仿宋"/>
          <w:color w:val="auto"/>
          <w:spacing w:val="0"/>
          <w:w w:val="100"/>
          <w:highlight w:val="none"/>
          <w:lang w:eastAsia="zh-CN"/>
        </w:rPr>
        <w:t>号）的标准执行</w:t>
      </w:r>
      <w:r>
        <w:rPr>
          <w:rFonts w:hint="eastAsia" w:ascii="Times New Roman" w:hAnsi="Times New Roman" w:eastAsia="仿宋"/>
          <w:color w:val="auto"/>
          <w:spacing w:val="0"/>
          <w:sz w:val="28"/>
          <w:highlight w:val="none"/>
          <w:lang w:eastAsia="zh-CN"/>
        </w:rPr>
        <w:t>，庄河市2025年度第1批次土地征收成片开发方案项目位于庄河市</w:t>
      </w:r>
      <w:r>
        <w:rPr>
          <w:rFonts w:hint="eastAsia" w:ascii="Times New Roman" w:hAnsi="Times New Roman" w:eastAsia="仿宋"/>
          <w:color w:val="auto"/>
          <w:spacing w:val="0"/>
          <w:sz w:val="28"/>
          <w:highlight w:val="none"/>
          <w:lang w:val="en-US" w:eastAsia="zh-CN"/>
        </w:rPr>
        <w:t>兰</w:t>
      </w:r>
      <w:r>
        <w:rPr>
          <w:rFonts w:hint="eastAsia" w:ascii="Times New Roman" w:hAnsi="Times New Roman" w:eastAsia="仿宋"/>
          <w:color w:val="auto"/>
          <w:spacing w:val="0"/>
          <w:sz w:val="28"/>
          <w:highlight w:val="none"/>
          <w:shd w:val="clear"/>
          <w:lang w:val="en-US" w:eastAsia="zh-CN"/>
        </w:rPr>
        <w:t>店乡解放村、元和村</w:t>
      </w:r>
      <w:r>
        <w:rPr>
          <w:rFonts w:hint="eastAsia" w:ascii="Times New Roman" w:hAnsi="Times New Roman" w:eastAsia="仿宋"/>
          <w:color w:val="auto"/>
          <w:spacing w:val="0"/>
          <w:sz w:val="28"/>
          <w:highlight w:val="none"/>
          <w:lang w:eastAsia="zh-CN"/>
        </w:rPr>
        <w:t>，该区域征地区片综合地价标准为</w:t>
      </w:r>
      <w:r>
        <w:rPr>
          <w:rFonts w:hint="eastAsia" w:ascii="Times New Roman" w:hAnsi="Times New Roman" w:eastAsia="仿宋"/>
          <w:color w:val="auto"/>
          <w:spacing w:val="0"/>
          <w:sz w:val="28"/>
          <w:highlight w:val="none"/>
          <w:lang w:val="en-US" w:eastAsia="zh-CN"/>
        </w:rPr>
        <w:t>3.3</w:t>
      </w:r>
      <w:r>
        <w:rPr>
          <w:rFonts w:hint="eastAsia" w:ascii="Times New Roman" w:hAnsi="Times New Roman" w:eastAsia="仿宋"/>
          <w:color w:val="auto"/>
          <w:spacing w:val="0"/>
          <w:sz w:val="28"/>
          <w:highlight w:val="none"/>
          <w:lang w:eastAsia="zh-CN"/>
        </w:rPr>
        <w:t>万元/亩</w:t>
      </w:r>
      <w:r>
        <w:rPr>
          <w:rFonts w:hint="eastAsia" w:ascii="Times New Roman" w:hAnsi="Times New Roman" w:eastAsia="仿宋"/>
          <w:color w:val="auto"/>
          <w:spacing w:val="0"/>
          <w:w w:val="100"/>
          <w:highlight w:val="none"/>
          <w:lang w:eastAsia="zh-CN"/>
        </w:rPr>
        <w:t>。</w:t>
      </w:r>
    </w:p>
    <w:p w14:paraId="66E40DFC">
      <w:pPr>
        <w:pStyle w:val="2"/>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2、被征地农民社会保障费用</w:t>
      </w:r>
    </w:p>
    <w:p w14:paraId="49DB92EC">
      <w:pPr>
        <w:pStyle w:val="2"/>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按照《辽宁省被征地农民社会保障暂行办法》（辽政办发（2005）81号）依法给予本次成片开发所涉土地征收范围内被征地农民和农村集体经济组织补偿，安排被征地农民的社会保障费用，并将被征地农民社保关系纳入城乡社会保障体系。</w:t>
      </w:r>
    </w:p>
    <w:p w14:paraId="732BBB5D">
      <w:pPr>
        <w:pStyle w:val="2"/>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3、地上附着物和青苗补偿标准</w:t>
      </w:r>
    </w:p>
    <w:p w14:paraId="37EB8162">
      <w:pPr>
        <w:pStyle w:val="2"/>
        <w:rPr>
          <w:rFonts w:hint="default"/>
          <w:lang w:val="en-US" w:eastAsia="zh-CN"/>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按照《庄河市人民政府办公室关于印发庄河市征收集体土地地上附着物补偿标准的通知》（庄政办发〔2021〕22号）标准执行。</w:t>
      </w:r>
    </w:p>
    <w:sectPr>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299AC">
    <w:pPr>
      <w:pStyle w:val="4"/>
      <w:pBdr>
        <w:top w:val="none" w:color="auto" w:sz="0" w:space="0"/>
      </w:pBd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90EE7">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90EE7">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BE4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1854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71854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E67F1"/>
    <w:multiLevelType w:val="singleLevel"/>
    <w:tmpl w:val="CC0E67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DI4OWVmYjU1MWViNjc0YjU0ZDcxYzUwZGUxZWMifQ=="/>
    <w:docVar w:name="KSO_WPS_MARK_KEY" w:val="98e2cf42-3458-4727-96d7-d1327ab74230"/>
  </w:docVars>
  <w:rsids>
    <w:rsidRoot w:val="00000000"/>
    <w:rsid w:val="000001C9"/>
    <w:rsid w:val="001C048E"/>
    <w:rsid w:val="002226FD"/>
    <w:rsid w:val="01637560"/>
    <w:rsid w:val="01B47625"/>
    <w:rsid w:val="02C32A4F"/>
    <w:rsid w:val="03CE5F11"/>
    <w:rsid w:val="056A6906"/>
    <w:rsid w:val="07D02D1C"/>
    <w:rsid w:val="0C32522A"/>
    <w:rsid w:val="0FBF27CD"/>
    <w:rsid w:val="10305B60"/>
    <w:rsid w:val="10517C44"/>
    <w:rsid w:val="10B32F74"/>
    <w:rsid w:val="117A2DA5"/>
    <w:rsid w:val="1478062D"/>
    <w:rsid w:val="18FE652B"/>
    <w:rsid w:val="1BAC040E"/>
    <w:rsid w:val="1D132666"/>
    <w:rsid w:val="1F1D4C4A"/>
    <w:rsid w:val="1F5A0233"/>
    <w:rsid w:val="2006258D"/>
    <w:rsid w:val="20BB0BCF"/>
    <w:rsid w:val="22523162"/>
    <w:rsid w:val="23203542"/>
    <w:rsid w:val="24FB6C64"/>
    <w:rsid w:val="285022AB"/>
    <w:rsid w:val="2A5544EE"/>
    <w:rsid w:val="2CD71DCF"/>
    <w:rsid w:val="2DB26F44"/>
    <w:rsid w:val="2DF92249"/>
    <w:rsid w:val="2F340AA1"/>
    <w:rsid w:val="302F2D5D"/>
    <w:rsid w:val="30AF2CF0"/>
    <w:rsid w:val="30EB0288"/>
    <w:rsid w:val="36F335D5"/>
    <w:rsid w:val="36F62A28"/>
    <w:rsid w:val="379320DC"/>
    <w:rsid w:val="38330EAE"/>
    <w:rsid w:val="38EF77E6"/>
    <w:rsid w:val="3F2076AE"/>
    <w:rsid w:val="3F626F64"/>
    <w:rsid w:val="3F7838B0"/>
    <w:rsid w:val="3FDE5A59"/>
    <w:rsid w:val="425C70EA"/>
    <w:rsid w:val="44337832"/>
    <w:rsid w:val="44452307"/>
    <w:rsid w:val="450D6C71"/>
    <w:rsid w:val="457C323B"/>
    <w:rsid w:val="47EA50AA"/>
    <w:rsid w:val="48C97F4E"/>
    <w:rsid w:val="49125987"/>
    <w:rsid w:val="49831FB1"/>
    <w:rsid w:val="498444C3"/>
    <w:rsid w:val="4AB84995"/>
    <w:rsid w:val="4AFA75CF"/>
    <w:rsid w:val="4C882D61"/>
    <w:rsid w:val="4D4F1280"/>
    <w:rsid w:val="4F64278A"/>
    <w:rsid w:val="504B3EA0"/>
    <w:rsid w:val="50BE491B"/>
    <w:rsid w:val="51D82F8D"/>
    <w:rsid w:val="52707BCD"/>
    <w:rsid w:val="53D41C8A"/>
    <w:rsid w:val="54690489"/>
    <w:rsid w:val="55341F99"/>
    <w:rsid w:val="564C3509"/>
    <w:rsid w:val="56624F25"/>
    <w:rsid w:val="56813D4A"/>
    <w:rsid w:val="582F0122"/>
    <w:rsid w:val="5858542C"/>
    <w:rsid w:val="585E7F9C"/>
    <w:rsid w:val="58637111"/>
    <w:rsid w:val="58800A70"/>
    <w:rsid w:val="58DB5992"/>
    <w:rsid w:val="59332640"/>
    <w:rsid w:val="59804CBD"/>
    <w:rsid w:val="5B3866F4"/>
    <w:rsid w:val="5B467E2C"/>
    <w:rsid w:val="5DE27E4E"/>
    <w:rsid w:val="5F622211"/>
    <w:rsid w:val="5FD55488"/>
    <w:rsid w:val="60757795"/>
    <w:rsid w:val="62B674C3"/>
    <w:rsid w:val="63421CCF"/>
    <w:rsid w:val="65337982"/>
    <w:rsid w:val="669A1378"/>
    <w:rsid w:val="669A71C9"/>
    <w:rsid w:val="68210EBB"/>
    <w:rsid w:val="6CC94A34"/>
    <w:rsid w:val="6EBF686B"/>
    <w:rsid w:val="6F470496"/>
    <w:rsid w:val="70B54896"/>
    <w:rsid w:val="7709457F"/>
    <w:rsid w:val="776F42E7"/>
    <w:rsid w:val="77AA0485"/>
    <w:rsid w:val="77DD2EE9"/>
    <w:rsid w:val="78450F32"/>
    <w:rsid w:val="79CF2041"/>
    <w:rsid w:val="79FC56BA"/>
    <w:rsid w:val="7BDD1603"/>
    <w:rsid w:val="7D8D658A"/>
    <w:rsid w:val="7F2C3804"/>
    <w:rsid w:val="7F98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rPr>
      <w:szCs w:val="22"/>
    </w:rPr>
  </w:style>
  <w:style w:type="paragraph" w:styleId="3">
    <w:name w:val="Body Text"/>
    <w:basedOn w:val="1"/>
    <w:autoRedefine/>
    <w:qFormat/>
    <w:uiPriority w:val="1"/>
    <w:pPr>
      <w:spacing w:before="15"/>
      <w:ind w:left="101"/>
    </w:pPr>
    <w:rPr>
      <w:rFonts w:ascii="Arial Unicode MS" w:hAnsi="Arial Unicode MS" w:eastAsia="Arial Unicode MS"/>
      <w:sz w:val="28"/>
      <w:szCs w:val="28"/>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autoRedefine/>
    <w:qFormat/>
    <w:uiPriority w:val="1"/>
  </w:style>
  <w:style w:type="table" w:customStyle="1" w:styleId="1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2">
    <w:name w:val="font11"/>
    <w:basedOn w:val="9"/>
    <w:qFormat/>
    <w:uiPriority w:val="0"/>
    <w:rPr>
      <w:rFonts w:hint="eastAsia" w:ascii="宋体" w:hAnsi="宋体" w:eastAsia="宋体" w:cs="宋体"/>
      <w:color w:val="000000"/>
      <w:sz w:val="24"/>
      <w:szCs w:val="24"/>
      <w:u w:val="none"/>
    </w:rPr>
  </w:style>
  <w:style w:type="character" w:customStyle="1" w:styleId="13">
    <w:name w:val="font21"/>
    <w:basedOn w:val="9"/>
    <w:autoRedefine/>
    <w:qFormat/>
    <w:uiPriority w:val="0"/>
    <w:rPr>
      <w:rFonts w:hint="default" w:ascii="Times New Roman" w:hAnsi="Times New Roman" w:cs="Times New Roman"/>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2190</Words>
  <Characters>2539</Characters>
  <Lines>0</Lines>
  <Paragraphs>0</Paragraphs>
  <TotalTime>2</TotalTime>
  <ScaleCrop>false</ScaleCrop>
  <LinksUpToDate>false</LinksUpToDate>
  <CharactersWithSpaces>2562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2022-12-01T07:05:00Z</dcterms:created>
  <dc:creator>Administrator</dc:creator>
  <cp:lastModifiedBy>WPS_1520947035</cp:lastModifiedBy>
  <cp:lastPrinted>2025-05-21T01:08:00Z</cp:lastPrinted>
  <dcterms:modified xsi:type="dcterms:W3CDTF">2025-05-22T02:22:19Z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1AC5F1516629493CB16150CF0F6FC2C7_13</vt:lpwstr>
  </property>
  <property fmtid="{D5CDD505-2E9C-101B-9397-08002B2CF9AE}" pid="4" name="KSOTemplateDocerSaveRecord">
    <vt:lpwstr>eyJoZGlkIjoiZTk1NjkzN2ZlOGE1MzFhYzYxMjBlOGM1YWRmYjZmYjQiLCJ1c2VySWQiOiIzNTIxODUzNDAifQ==</vt:lpwstr>
  </property>
</Properties>
</file>