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640" w:lineRule="exact"/>
        <w:ind w:firstLine="1316" w:firstLineChars="298"/>
        <w:rPr>
          <w:rFonts w:ascii="方正小标宋简体" w:hAnsi="方正小标宋简体" w:eastAsia="方正小标宋简体"/>
          <w:b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</w:rPr>
        <w:t>徐岭镇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</w:rPr>
        <w:t>年预算执行情况</w:t>
      </w:r>
    </w:p>
    <w:p>
      <w:pPr>
        <w:shd w:val="clear"/>
        <w:spacing w:line="640" w:lineRule="exact"/>
        <w:jc w:val="center"/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</w:rPr>
        <w:t>和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</w:rPr>
        <w:t>年预算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val="en-US" w:eastAsia="zh-CN"/>
        </w:rPr>
        <w:t>草案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</w:rPr>
        <w:t>报告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val="en-US" w:eastAsia="zh-CN"/>
        </w:rPr>
        <w:t>书面</w:t>
      </w:r>
      <w:r>
        <w:rPr>
          <w:rFonts w:hint="eastAsia" w:ascii="方正小标宋简体" w:hAnsi="方正小标宋简体" w:eastAsia="方正小标宋简体"/>
          <w:b/>
          <w:kern w:val="0"/>
          <w:sz w:val="44"/>
          <w:szCs w:val="44"/>
          <w:lang w:eastAsia="zh-CN"/>
        </w:rPr>
        <w:t>）</w:t>
      </w:r>
    </w:p>
    <w:p>
      <w:pPr>
        <w:shd w:val="clear" w:color="auto" w:fill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shd w:val="clear" w:color="auto" w:fill="auto"/>
          <w:lang w:val="en-US" w:eastAsia="zh-CN"/>
        </w:rPr>
        <w:t>12</w:t>
      </w:r>
      <w:r>
        <w:rPr>
          <w:rFonts w:hint="eastAsia" w:ascii="仿宋" w:hAnsi="仿宋" w:eastAsia="仿宋"/>
          <w:sz w:val="28"/>
          <w:szCs w:val="28"/>
          <w:shd w:val="clear" w:color="auto" w:fill="auto"/>
        </w:rPr>
        <w:t>月</w:t>
      </w:r>
      <w:r>
        <w:rPr>
          <w:rFonts w:hint="eastAsia" w:ascii="仿宋" w:hAnsi="仿宋" w:eastAsia="仿宋"/>
          <w:sz w:val="28"/>
          <w:szCs w:val="28"/>
          <w:shd w:val="clear" w:color="auto" w:fill="auto"/>
          <w:lang w:val="en-US" w:eastAsia="zh-CN"/>
        </w:rPr>
        <w:t>22</w:t>
      </w:r>
      <w:r>
        <w:rPr>
          <w:rFonts w:hint="eastAsia" w:ascii="仿宋" w:hAnsi="仿宋" w:eastAsia="仿宋"/>
          <w:sz w:val="28"/>
          <w:szCs w:val="28"/>
          <w:shd w:val="clear" w:color="auto" w:fill="auto"/>
        </w:rPr>
        <w:t>日徐岭镇第</w:t>
      </w:r>
      <w:r>
        <w:rPr>
          <w:rFonts w:hint="eastAsia" w:ascii="仿宋" w:hAnsi="仿宋" w:eastAsia="仿宋"/>
          <w:sz w:val="28"/>
          <w:szCs w:val="28"/>
          <w:shd w:val="clear" w:color="auto" w:fill="auto"/>
          <w:lang w:val="en-US" w:eastAsia="zh-CN"/>
        </w:rPr>
        <w:t>二十</w:t>
      </w:r>
      <w:r>
        <w:rPr>
          <w:rFonts w:hint="eastAsia" w:ascii="仿宋" w:hAnsi="仿宋" w:eastAsia="仿宋"/>
          <w:sz w:val="28"/>
          <w:szCs w:val="28"/>
          <w:shd w:val="clear" w:color="auto" w:fill="auto"/>
        </w:rPr>
        <w:t>届人民代表大会第</w:t>
      </w:r>
      <w:r>
        <w:rPr>
          <w:rFonts w:hint="eastAsia" w:ascii="仿宋" w:hAnsi="仿宋" w:eastAsia="仿宋"/>
          <w:sz w:val="28"/>
          <w:szCs w:val="28"/>
          <w:shd w:val="clear" w:color="auto" w:fill="auto"/>
          <w:lang w:eastAsia="zh-CN"/>
        </w:rPr>
        <w:t>五</w:t>
      </w:r>
      <w:r>
        <w:rPr>
          <w:rFonts w:hint="eastAsia" w:ascii="仿宋" w:hAnsi="仿宋" w:eastAsia="仿宋"/>
          <w:sz w:val="28"/>
          <w:szCs w:val="28"/>
          <w:shd w:val="clear" w:color="auto" w:fill="auto"/>
        </w:rPr>
        <w:t>次</w:t>
      </w:r>
      <w:r>
        <w:rPr>
          <w:rFonts w:hint="eastAsia" w:ascii="仿宋" w:hAnsi="仿宋" w:eastAsia="仿宋"/>
          <w:sz w:val="28"/>
          <w:szCs w:val="28"/>
        </w:rPr>
        <w:t>会议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上</w:t>
      </w:r>
      <w:r>
        <w:rPr>
          <w:rFonts w:hint="eastAsia" w:ascii="仿宋" w:hAnsi="仿宋" w:eastAsia="仿宋"/>
          <w:sz w:val="28"/>
          <w:szCs w:val="28"/>
        </w:rPr>
        <w:t>）</w:t>
      </w:r>
    </w:p>
    <w:p>
      <w:pPr>
        <w:shd w:val="clear" w:color="auto" w:fill="auto"/>
        <w:jc w:val="center"/>
        <w:rPr>
          <w:rFonts w:hint="default" w:ascii="仿宋_GB2312" w:hAnsi="仿宋" w:eastAsia="仿宋_GB2312"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镇财政管理办公室主任  钟林颐</w:t>
      </w:r>
    </w:p>
    <w:p>
      <w:pPr>
        <w:shd w:val="clear"/>
        <w:spacing w:line="600" w:lineRule="exact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各位代表：</w:t>
      </w:r>
    </w:p>
    <w:p>
      <w:pPr>
        <w:shd w:val="clear"/>
        <w:spacing w:line="600" w:lineRule="exact"/>
        <w:ind w:firstLine="630" w:firstLineChars="197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受镇政府委托，向本次大会提出我镇202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年财政预算执行情况和202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年财政预算草案的书面报告，请审议，并请各位列席人员提出意见。</w:t>
      </w:r>
    </w:p>
    <w:p>
      <w:pPr>
        <w:shd w:val="clear"/>
        <w:spacing w:line="600" w:lineRule="exact"/>
        <w:ind w:firstLine="630" w:firstLineChars="197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202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年财政预算执行情况</w:t>
      </w:r>
    </w:p>
    <w:p>
      <w:pPr>
        <w:shd w:val="clear"/>
        <w:spacing w:line="600" w:lineRule="exact"/>
        <w:ind w:firstLine="630" w:firstLineChars="197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徐岭</w:t>
      </w:r>
      <w:r>
        <w:rPr>
          <w:rFonts w:hint="eastAsia" w:ascii="仿宋_GB2312" w:hAnsi="仿宋" w:eastAsia="仿宋_GB2312"/>
          <w:bCs/>
          <w:sz w:val="32"/>
          <w:szCs w:val="32"/>
        </w:rPr>
        <w:t>镇第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二十</w:t>
      </w:r>
      <w:r>
        <w:rPr>
          <w:rFonts w:hint="eastAsia" w:ascii="仿宋_GB2312" w:hAnsi="仿宋" w:eastAsia="仿宋_GB2312"/>
          <w:bCs/>
          <w:sz w:val="32"/>
          <w:szCs w:val="32"/>
        </w:rPr>
        <w:t>届人民代表大会第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/>
          <w:bCs/>
          <w:sz w:val="32"/>
          <w:szCs w:val="32"/>
        </w:rPr>
        <w:t>次会议上批准的我镇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年财政预算，执行情况（收支数均为预计）如下：</w:t>
      </w:r>
    </w:p>
    <w:p>
      <w:pPr>
        <w:shd w:val="clear"/>
        <w:spacing w:line="600" w:lineRule="exact"/>
        <w:ind w:firstLine="640" w:firstLineChars="200"/>
        <w:rPr>
          <w:rFonts w:ascii="楷体_GB2312" w:hAnsi="楷体" w:eastAsia="楷体_GB2312"/>
          <w:bCs/>
          <w:sz w:val="32"/>
          <w:szCs w:val="32"/>
        </w:rPr>
      </w:pPr>
      <w:r>
        <w:rPr>
          <w:rFonts w:hint="eastAsia" w:ascii="楷体_GB2312" w:hAnsi="楷体" w:eastAsia="楷体_GB2312"/>
          <w:bCs/>
          <w:sz w:val="32"/>
          <w:szCs w:val="32"/>
        </w:rPr>
        <w:t>（一）</w:t>
      </w:r>
      <w:bookmarkStart w:id="0" w:name="_GoBack"/>
      <w:bookmarkEnd w:id="0"/>
      <w:r>
        <w:rPr>
          <w:rFonts w:hint="eastAsia" w:ascii="楷体_GB2312" w:hAnsi="楷体" w:eastAsia="楷体_GB2312"/>
          <w:bCs/>
          <w:sz w:val="32"/>
          <w:szCs w:val="32"/>
        </w:rPr>
        <w:t>一般公共预算执行情况</w:t>
      </w:r>
    </w:p>
    <w:p>
      <w:pPr>
        <w:shd w:val="clear"/>
        <w:spacing w:line="620" w:lineRule="exact"/>
        <w:ind w:firstLine="643" w:firstLineChars="200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bCs w:val="0"/>
          <w:color w:val="000000" w:themeColor="text1"/>
          <w:sz w:val="32"/>
          <w:szCs w:val="32"/>
          <w:lang w:val="en-US" w:eastAsia="zh-CN"/>
        </w:rPr>
        <w:t>全镇</w:t>
      </w:r>
      <w:r>
        <w:rPr>
          <w:rFonts w:hint="eastAsia" w:ascii="仿宋_GB2312" w:hAnsi="仿宋" w:eastAsia="仿宋_GB2312"/>
          <w:b/>
          <w:bCs w:val="0"/>
          <w:color w:val="000000" w:themeColor="text1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9300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万元，完成（收支完成均指比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调整后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预算）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117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%，其中：税收收入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9228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万元；非税收入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72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</w:rPr>
        <w:t>转移性收入666万元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。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收入总量为9966万元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。</w:t>
      </w:r>
      <w:r>
        <w:rPr>
          <w:rFonts w:hint="eastAsia" w:ascii="仿宋_GB2312" w:hAnsi="仿宋" w:eastAsia="仿宋_GB2312"/>
          <w:b/>
          <w:bCs w:val="0"/>
          <w:color w:val="000000" w:themeColor="text1"/>
          <w:sz w:val="32"/>
          <w:szCs w:val="32"/>
          <w:lang w:val="en-US" w:eastAsia="zh-CN"/>
        </w:rPr>
        <w:t>全镇</w:t>
      </w:r>
      <w:r>
        <w:rPr>
          <w:rFonts w:hint="eastAsia" w:ascii="仿宋_GB2312" w:hAnsi="仿宋" w:eastAsia="仿宋_GB2312"/>
          <w:b/>
          <w:bCs w:val="0"/>
          <w:color w:val="000000" w:themeColor="text1"/>
          <w:sz w:val="32"/>
          <w:szCs w:val="32"/>
        </w:rPr>
        <w:t>一般公共预算</w:t>
      </w:r>
      <w:r>
        <w:rPr>
          <w:rFonts w:hint="eastAsia" w:ascii="仿宋_GB2312" w:hAnsi="仿宋" w:eastAsia="仿宋_GB2312"/>
          <w:b/>
          <w:bCs w:val="0"/>
          <w:color w:val="000000" w:themeColor="text1"/>
          <w:sz w:val="32"/>
          <w:szCs w:val="32"/>
          <w:lang w:val="en-US" w:eastAsia="zh-CN"/>
        </w:rPr>
        <w:t>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8314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。转移性支出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1652万元，其中：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</w:rPr>
        <w:t>上解支出297万元，调出资金1355万元，支出总量为9966万元。</w:t>
      </w:r>
      <w:r>
        <w:rPr>
          <w:rFonts w:hint="eastAsia" w:ascii="仿宋_GB2312" w:hAnsi="仿宋_GB2312" w:eastAsia="仿宋_GB2312" w:cs="仿宋_GB2312"/>
          <w:b/>
          <w:bCs w:val="0"/>
          <w:color w:val="000000" w:themeColor="text1"/>
          <w:sz w:val="32"/>
          <w:szCs w:val="32"/>
          <w:lang w:val="en-US" w:eastAsia="zh-CN"/>
        </w:rPr>
        <w:t>收支平衡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val="en-US" w:eastAsia="zh-CN"/>
        </w:rPr>
        <w:t>。</w:t>
      </w:r>
    </w:p>
    <w:p>
      <w:pPr>
        <w:shd w:val="clear"/>
        <w:spacing w:line="620" w:lineRule="exact"/>
        <w:ind w:firstLine="643" w:firstLineChars="200"/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b/>
          <w:bCs w:val="0"/>
          <w:sz w:val="32"/>
          <w:szCs w:val="32"/>
          <w:lang w:val="en-US" w:eastAsia="zh-CN"/>
        </w:rPr>
        <w:t>镇本级</w:t>
      </w:r>
      <w:r>
        <w:rPr>
          <w:rFonts w:hint="eastAsia" w:ascii="仿宋_GB2312" w:hAnsi="仿宋" w:eastAsia="仿宋_GB2312"/>
          <w:b/>
          <w:bCs w:val="0"/>
          <w:sz w:val="32"/>
          <w:szCs w:val="32"/>
        </w:rPr>
        <w:t>一般公共预算支出具体完成情况。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一般公共服务支出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1868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教育支出70万元。（3）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文化旅游体育与传媒支出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）社会保障和就业支出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598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卫生健康支出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107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（6）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城乡社区建设支出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260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农林水支出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564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交通运输支出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资源勘探信息等支出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4636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住房保障支出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154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万元。</w:t>
      </w:r>
    </w:p>
    <w:p>
      <w:pPr>
        <w:shd w:val="clear"/>
        <w:spacing w:line="620" w:lineRule="exact"/>
        <w:ind w:firstLine="643" w:firstLineChars="200"/>
        <w:rPr>
          <w:rFonts w:ascii="仿宋_GB2312" w:hAnsi="仿宋" w:eastAsia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b/>
          <w:bCs w:val="0"/>
          <w:color w:val="000000" w:themeColor="text1"/>
          <w:sz w:val="32"/>
          <w:szCs w:val="32"/>
        </w:rPr>
        <w:t>上级财政转移支付情况。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上级对我镇转移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性收入666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万元，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其中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一般性转移支付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323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  <w:lang w:val="en-US" w:eastAsia="zh-CN"/>
        </w:rPr>
        <w:t>专项转移支付343万元</w:t>
      </w:r>
      <w:r>
        <w:rPr>
          <w:rFonts w:hint="eastAsia" w:ascii="仿宋_GB2312" w:hAnsi="仿宋" w:eastAsia="仿宋_GB2312"/>
          <w:bCs/>
          <w:color w:val="000000" w:themeColor="text1"/>
          <w:sz w:val="32"/>
          <w:szCs w:val="32"/>
        </w:rPr>
        <w:t>。</w:t>
      </w:r>
    </w:p>
    <w:p>
      <w:pPr>
        <w:shd w:val="clear"/>
        <w:spacing w:line="600" w:lineRule="exact"/>
        <w:ind w:firstLine="640" w:firstLineChars="200"/>
        <w:rPr>
          <w:rFonts w:hint="eastAsia" w:ascii="楷体_GB2312" w:hAnsi="楷体" w:eastAsia="楷体_GB2312"/>
          <w:bCs/>
          <w:sz w:val="32"/>
          <w:szCs w:val="32"/>
          <w:lang w:eastAsia="zh-CN"/>
        </w:rPr>
      </w:pPr>
      <w:r>
        <w:rPr>
          <w:rFonts w:hint="eastAsia" w:ascii="楷体_GB2312" w:hAnsi="楷体" w:eastAsia="楷体_GB2312"/>
          <w:bCs/>
          <w:sz w:val="32"/>
          <w:szCs w:val="32"/>
          <w:lang w:eastAsia="zh-CN"/>
        </w:rPr>
        <w:t>（二）政府性基金预算执行情况</w:t>
      </w:r>
    </w:p>
    <w:p>
      <w:pPr>
        <w:numPr>
          <w:ilvl w:val="0"/>
          <w:numId w:val="0"/>
        </w:numPr>
        <w:shd w:val="clear"/>
        <w:spacing w:line="620" w:lineRule="exact"/>
        <w:rPr>
          <w:rFonts w:hint="eastAsia" w:ascii="仿宋_GB2312" w:eastAsia="仿宋_GB2312"/>
          <w:b/>
          <w:bCs/>
          <w:color w:val="000080"/>
          <w:sz w:val="36"/>
          <w:szCs w:val="36"/>
          <w:lang w:val="en-US" w:eastAsia="zh-CN"/>
        </w:rPr>
      </w:pPr>
      <w:r>
        <w:rPr>
          <w:rFonts w:hint="eastAsia" w:ascii="仿宋_GB2312" w:eastAsia="仿宋_GB2312"/>
          <w:b/>
          <w:bCs/>
          <w:color w:val="000080"/>
          <w:sz w:val="36"/>
          <w:szCs w:val="36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b w:val="0"/>
          <w:bCs/>
          <w:color w:val="000000" w:themeColor="text1"/>
          <w:sz w:val="32"/>
          <w:szCs w:val="32"/>
          <w:lang w:val="en-US" w:eastAsia="zh-CN"/>
        </w:rPr>
        <w:t>政府性基金收入74.4万元，政府性基金支出74.4万元</w:t>
      </w:r>
      <w:r>
        <w:rPr>
          <w:rFonts w:hint="eastAsia" w:ascii="仿宋_GB2312" w:hAnsi="仿宋" w:eastAsia="仿宋_GB2312"/>
          <w:b w:val="0"/>
          <w:bCs/>
          <w:color w:val="000000" w:themeColor="text1"/>
          <w:sz w:val="32"/>
          <w:szCs w:val="32"/>
        </w:rPr>
        <w:t>。</w:t>
      </w:r>
    </w:p>
    <w:p>
      <w:pPr>
        <w:shd w:val="clear"/>
        <w:spacing w:line="600" w:lineRule="exact"/>
        <w:ind w:firstLine="640" w:firstLineChars="200"/>
        <w:rPr>
          <w:rFonts w:hint="eastAsia" w:ascii="楷体_GB2312" w:hAnsi="楷体" w:eastAsia="楷体_GB2312"/>
          <w:bCs/>
          <w:sz w:val="32"/>
          <w:szCs w:val="32"/>
          <w:lang w:eastAsia="zh-CN"/>
        </w:rPr>
      </w:pPr>
      <w:r>
        <w:rPr>
          <w:rFonts w:hint="eastAsia" w:ascii="楷体_GB2312" w:hAnsi="楷体" w:eastAsia="楷体_GB2312"/>
          <w:bCs/>
          <w:sz w:val="32"/>
          <w:szCs w:val="32"/>
          <w:lang w:eastAsia="zh-CN"/>
        </w:rPr>
        <w:t>（三）社会保险基金预算执行情况</w:t>
      </w:r>
    </w:p>
    <w:p>
      <w:pPr>
        <w:numPr>
          <w:ilvl w:val="0"/>
          <w:numId w:val="0"/>
        </w:numPr>
        <w:shd w:val="clear"/>
        <w:spacing w:line="62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按照统筹级次，基本养老保险、“新农合”由市级统筹，所以未安排社会保险基金预算，但为使预算完整，也将社会保险基金预算加以提出，并将收支安排为“0”。</w:t>
      </w:r>
    </w:p>
    <w:p>
      <w:pPr>
        <w:shd w:val="clear"/>
        <w:spacing w:line="600" w:lineRule="exact"/>
        <w:ind w:firstLine="640" w:firstLineChars="200"/>
        <w:rPr>
          <w:rFonts w:hint="eastAsia" w:ascii="楷体_GB2312" w:hAnsi="楷体" w:eastAsia="楷体_GB2312"/>
          <w:bCs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/>
          <w:bCs/>
          <w:sz w:val="32"/>
          <w:szCs w:val="32"/>
          <w:lang w:eastAsia="zh-CN"/>
        </w:rPr>
        <w:t>（四）国有资本经营预算执行情况</w:t>
      </w:r>
    </w:p>
    <w:p>
      <w:pPr>
        <w:numPr>
          <w:ilvl w:val="0"/>
          <w:numId w:val="0"/>
        </w:numPr>
        <w:shd w:val="clear"/>
        <w:spacing w:line="620" w:lineRule="exact"/>
        <w:ind w:firstLine="640" w:firstLineChars="200"/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我镇无国有企业，因而不具备编此预算条件，所以未安排国有资本基金预算，但为使预算完整，也将国有资本预算加以提出，并将收支安排为“0”。</w:t>
      </w:r>
    </w:p>
    <w:p>
      <w:pPr>
        <w:spacing w:line="560" w:lineRule="exact"/>
        <w:ind w:firstLine="690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hint="eastAsia" w:eastAsia="仿宋_GB2312"/>
          <w:sz w:val="32"/>
          <w:szCs w:val="32"/>
          <w:highlight w:val="none"/>
          <w:lang w:eastAsia="zh-CN"/>
        </w:rPr>
        <w:t>2023年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作为党的二十大开局之年，</w:t>
      </w:r>
      <w:r>
        <w:rPr>
          <w:rFonts w:eastAsia="仿宋_GB2312"/>
          <w:sz w:val="32"/>
          <w:szCs w:val="32"/>
          <w:highlight w:val="none"/>
        </w:rPr>
        <w:t>面对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复杂的国际形势以及经济下行的大环境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全镇</w:t>
      </w:r>
      <w:r>
        <w:rPr>
          <w:rFonts w:eastAsia="仿宋_GB2312"/>
          <w:sz w:val="32"/>
          <w:szCs w:val="32"/>
          <w:highlight w:val="none"/>
        </w:rPr>
        <w:t>上下坚持以习近平新时代中国特色社会主义思想为指导，切实贯彻党的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二十</w:t>
      </w:r>
      <w:r>
        <w:rPr>
          <w:rFonts w:eastAsia="仿宋_GB2312"/>
          <w:sz w:val="32"/>
          <w:szCs w:val="32"/>
          <w:highlight w:val="none"/>
        </w:rPr>
        <w:t>大精神，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稳步推进</w:t>
      </w:r>
      <w:r>
        <w:rPr>
          <w:rFonts w:eastAsia="仿宋_GB2312"/>
          <w:sz w:val="32"/>
          <w:szCs w:val="32"/>
          <w:highlight w:val="none"/>
        </w:rPr>
        <w:t>“十四五”规划，坚持稳中求进的工作总基调，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积极推动经济市场恢复</w:t>
      </w:r>
      <w:r>
        <w:rPr>
          <w:rFonts w:eastAsia="仿宋_GB2312"/>
          <w:sz w:val="32"/>
          <w:szCs w:val="32"/>
          <w:highlight w:val="none"/>
        </w:rPr>
        <w:t>。按照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上级</w:t>
      </w:r>
      <w:r>
        <w:rPr>
          <w:rFonts w:eastAsia="仿宋_GB2312"/>
          <w:sz w:val="32"/>
          <w:szCs w:val="32"/>
          <w:highlight w:val="none"/>
        </w:rPr>
        <w:t>工作部署，进一步深化预算管理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体制机制</w:t>
      </w:r>
      <w:r>
        <w:rPr>
          <w:rFonts w:eastAsia="仿宋_GB2312"/>
          <w:sz w:val="32"/>
          <w:szCs w:val="32"/>
          <w:highlight w:val="none"/>
        </w:rPr>
        <w:t>改革，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继续坚持</w:t>
      </w:r>
      <w:r>
        <w:rPr>
          <w:rFonts w:eastAsia="仿宋_GB2312"/>
          <w:sz w:val="32"/>
          <w:szCs w:val="32"/>
          <w:highlight w:val="none"/>
        </w:rPr>
        <w:t>树立过“紧日子”思想，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强化</w:t>
      </w:r>
      <w:r>
        <w:rPr>
          <w:rFonts w:eastAsia="仿宋_GB2312"/>
          <w:sz w:val="32"/>
          <w:szCs w:val="32"/>
          <w:highlight w:val="none"/>
        </w:rPr>
        <w:t>财政管理风险防控意识，规范财政资金使用管理流程，财政运行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平稳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全镇各项重点项目保障有力，</w:t>
      </w:r>
      <w:r>
        <w:rPr>
          <w:rFonts w:eastAsia="仿宋_GB2312"/>
          <w:sz w:val="32"/>
          <w:szCs w:val="32"/>
          <w:highlight w:val="none"/>
        </w:rPr>
        <w:t>社会经济发展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态势持续向好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具体表现：</w:t>
      </w:r>
      <w:r>
        <w:rPr>
          <w:rFonts w:eastAsia="仿宋_GB2312"/>
          <w:b/>
          <w:bCs/>
          <w:color w:val="000000"/>
          <w:sz w:val="32"/>
          <w:szCs w:val="32"/>
          <w:highlight w:val="none"/>
        </w:rPr>
        <w:t>一是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财政收入大幅提升，得益于企业补缴</w:t>
      </w:r>
      <w:r>
        <w:rPr>
          <w:rFonts w:hint="eastAsia" w:eastAsia="仿宋_GB2312"/>
          <w:color w:val="000000"/>
          <w:sz w:val="32"/>
          <w:szCs w:val="32"/>
          <w:highlight w:val="none"/>
          <w:lang w:val="en-US" w:eastAsia="zh-CN"/>
        </w:rPr>
        <w:t>2022年缓税政策以及重点企业大幅提高产能，全镇一般公共预算收入增幅高</w:t>
      </w:r>
      <w:r>
        <w:rPr>
          <w:rFonts w:hint="eastAsia" w:eastAsia="仿宋_GB2312"/>
          <w:color w:val="000000"/>
          <w:sz w:val="32"/>
          <w:szCs w:val="32"/>
          <w:highlight w:val="none"/>
          <w:shd w:val="clear"/>
          <w:lang w:val="en-US" w:eastAsia="zh-CN"/>
        </w:rPr>
        <w:t>达78%</w:t>
      </w:r>
      <w:r>
        <w:rPr>
          <w:rFonts w:eastAsia="仿宋_GB2312"/>
          <w:color w:val="000000"/>
          <w:sz w:val="32"/>
          <w:szCs w:val="32"/>
          <w:highlight w:val="none"/>
        </w:rPr>
        <w:t>。</w:t>
      </w:r>
      <w:r>
        <w:rPr>
          <w:rFonts w:eastAsia="仿宋_GB2312"/>
          <w:b/>
          <w:bCs/>
          <w:color w:val="000000"/>
          <w:sz w:val="32"/>
          <w:szCs w:val="32"/>
          <w:highlight w:val="none"/>
        </w:rPr>
        <w:t>二是</w:t>
      </w:r>
      <w:r>
        <w:rPr>
          <w:rFonts w:eastAsia="仿宋_GB2312"/>
          <w:color w:val="000000"/>
          <w:sz w:val="32"/>
          <w:szCs w:val="32"/>
          <w:highlight w:val="none"/>
        </w:rPr>
        <w:t>及时、足额兑现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招商引资</w:t>
      </w:r>
      <w:r>
        <w:rPr>
          <w:rFonts w:eastAsia="仿宋_GB2312"/>
          <w:color w:val="000000"/>
          <w:sz w:val="32"/>
          <w:szCs w:val="32"/>
          <w:highlight w:val="none"/>
        </w:rPr>
        <w:t>政策，打造公信力高、竞争力强、营商环境好的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徐岭</w:t>
      </w:r>
      <w:r>
        <w:rPr>
          <w:rFonts w:eastAsia="仿宋_GB2312"/>
          <w:color w:val="000000"/>
          <w:sz w:val="32"/>
          <w:szCs w:val="32"/>
          <w:highlight w:val="none"/>
        </w:rPr>
        <w:t>名片。</w:t>
      </w:r>
      <w:r>
        <w:rPr>
          <w:rFonts w:eastAsia="仿宋_GB2312"/>
          <w:b/>
          <w:bCs/>
          <w:color w:val="000000"/>
          <w:sz w:val="32"/>
          <w:szCs w:val="32"/>
          <w:highlight w:val="none"/>
        </w:rPr>
        <w:t>三是</w:t>
      </w:r>
      <w:r>
        <w:rPr>
          <w:rFonts w:eastAsia="仿宋_GB2312"/>
          <w:color w:val="000000"/>
          <w:sz w:val="32"/>
          <w:szCs w:val="32"/>
          <w:highlight w:val="none"/>
        </w:rPr>
        <w:t>切实降低政府运行成本，坚持政府带头过“紧日子”，执行中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严格</w:t>
      </w:r>
      <w:r>
        <w:rPr>
          <w:rFonts w:eastAsia="仿宋_GB2312"/>
          <w:color w:val="000000"/>
          <w:sz w:val="32"/>
          <w:szCs w:val="32"/>
          <w:highlight w:val="none"/>
        </w:rPr>
        <w:t>压减一般性支出，落实“三公”经费只减不增要求，进一步提高政府运行绩效性。</w:t>
      </w:r>
      <w:r>
        <w:rPr>
          <w:rFonts w:hint="eastAsia" w:eastAsia="仿宋_GB2312"/>
          <w:b/>
          <w:bCs/>
          <w:color w:val="000000"/>
          <w:sz w:val="32"/>
          <w:szCs w:val="32"/>
          <w:highlight w:val="none"/>
          <w:lang w:eastAsia="zh-CN"/>
        </w:rPr>
        <w:t>四</w:t>
      </w:r>
      <w:r>
        <w:rPr>
          <w:rFonts w:eastAsia="仿宋_GB2312"/>
          <w:b/>
          <w:bCs/>
          <w:color w:val="000000"/>
          <w:sz w:val="32"/>
          <w:szCs w:val="32"/>
          <w:highlight w:val="none"/>
        </w:rPr>
        <w:t>是</w:t>
      </w:r>
      <w:r>
        <w:rPr>
          <w:rFonts w:eastAsia="仿宋_GB2312"/>
          <w:color w:val="000000"/>
          <w:sz w:val="32"/>
          <w:szCs w:val="32"/>
          <w:highlight w:val="none"/>
        </w:rPr>
        <w:t>强化风险防控意识，完善财政管理业务链条各项制度，规范财政资金使用流程，确保财政运行规范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及</w:t>
      </w:r>
      <w:r>
        <w:rPr>
          <w:rFonts w:eastAsia="仿宋_GB2312"/>
          <w:color w:val="000000"/>
          <w:sz w:val="32"/>
          <w:szCs w:val="32"/>
          <w:highlight w:val="none"/>
        </w:rPr>
        <w:t>财政资金安全。</w:t>
      </w:r>
    </w:p>
    <w:p>
      <w:pPr>
        <w:spacing w:line="560" w:lineRule="exact"/>
        <w:ind w:firstLine="690"/>
        <w:rPr>
          <w:rFonts w:ascii="仿宋_GB2312" w:hAnsi="仿宋" w:eastAsia="仿宋_GB2312"/>
          <w:bCs/>
          <w:sz w:val="32"/>
          <w:szCs w:val="32"/>
        </w:rPr>
      </w:pPr>
      <w:r>
        <w:rPr>
          <w:rFonts w:eastAsia="仿宋_GB2312"/>
          <w:color w:val="000000"/>
          <w:sz w:val="32"/>
          <w:szCs w:val="32"/>
          <w:highlight w:val="none"/>
        </w:rPr>
        <w:t>当然，我们也清醒的认识到，财政运行中存在预算执行约束力不足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的</w:t>
      </w:r>
      <w:r>
        <w:rPr>
          <w:rFonts w:eastAsia="仿宋_GB2312"/>
          <w:color w:val="000000"/>
          <w:sz w:val="32"/>
          <w:szCs w:val="32"/>
          <w:highlight w:val="none"/>
        </w:rPr>
        <w:t>问题，需要在以后的工作中逐步加以解决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shd w:val="clear"/>
        <w:spacing w:line="600" w:lineRule="exact"/>
        <w:ind w:firstLine="630" w:firstLineChars="197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 二、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202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 xml:space="preserve">年预算主要内容    </w:t>
      </w:r>
    </w:p>
    <w:p>
      <w:pPr>
        <w:spacing w:line="560" w:lineRule="exact"/>
        <w:ind w:firstLine="690"/>
        <w:rPr>
          <w:rFonts w:hint="eastAsia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2024年的预算编制工作，我镇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坚持以习近平新时代中国特色社会主义思想为指导，全面深入贯彻党的二十大精神，坚决落实上级要求和市委、市政府决策部署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，立足四个“坚持”扎实推进。</w:t>
      </w:r>
      <w:r>
        <w:rPr>
          <w:rFonts w:hint="eastAsia" w:eastAsia="仿宋_GB2312"/>
          <w:b/>
          <w:bCs/>
          <w:sz w:val="32"/>
          <w:szCs w:val="32"/>
          <w:highlight w:val="none"/>
          <w:lang w:val="en-US" w:eastAsia="zh-CN"/>
        </w:rPr>
        <w:t>一是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坚持尽力而为和量入为出原则，在科学预判财政收入基础上，不断强化各类资源统筹，壮大财政可支配财力；</w:t>
      </w:r>
      <w:r>
        <w:rPr>
          <w:rFonts w:hint="eastAsia" w:eastAsia="仿宋_GB2312"/>
          <w:b/>
          <w:bCs/>
          <w:sz w:val="32"/>
          <w:szCs w:val="32"/>
          <w:highlight w:val="none"/>
          <w:lang w:val="en-US" w:eastAsia="zh-CN"/>
        </w:rPr>
        <w:t>二是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坚持硬化约束和严肃纪律原则，全面梳理预算决策完整性，强化部门主体责任意识，严禁无决策、无预算、超预算支出行为；</w:t>
      </w:r>
      <w:r>
        <w:rPr>
          <w:rFonts w:hint="eastAsia" w:eastAsia="仿宋_GB2312"/>
          <w:b/>
          <w:bCs/>
          <w:sz w:val="32"/>
          <w:szCs w:val="32"/>
          <w:highlight w:val="none"/>
          <w:lang w:val="en-US" w:eastAsia="zh-CN"/>
        </w:rPr>
        <w:t>三是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坚持过“紧日子”和收支平衡原则，坚持政府带头过“紧日子”，完善能增能减、有保有压的预算分配原则，切实压缩一般性支出，保障重点项目支出，降低政府运行成本；</w:t>
      </w:r>
      <w:r>
        <w:rPr>
          <w:rFonts w:hint="eastAsia" w:eastAsia="仿宋_GB2312"/>
          <w:b/>
          <w:bCs/>
          <w:sz w:val="32"/>
          <w:szCs w:val="32"/>
          <w:highlight w:val="none"/>
          <w:lang w:val="en-US" w:eastAsia="zh-CN"/>
        </w:rPr>
        <w:t>四是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坚持全面绩效和提升管理水平原则，以财政预算管理一体化信息系统建设为抓手，加快建设全方位、全过程、全覆盖的预算绩效管理体系。</w:t>
      </w:r>
    </w:p>
    <w:p>
      <w:pPr>
        <w:spacing w:line="560" w:lineRule="exact"/>
        <w:ind w:firstLine="690"/>
        <w:rPr>
          <w:rFonts w:eastAsia="仿宋_GB2312"/>
          <w:color w:val="000000"/>
          <w:sz w:val="32"/>
          <w:szCs w:val="32"/>
          <w:highlight w:val="none"/>
        </w:rPr>
      </w:pPr>
      <w:r>
        <w:rPr>
          <w:rFonts w:eastAsia="仿宋_GB2312"/>
          <w:color w:val="000000"/>
          <w:sz w:val="32"/>
          <w:szCs w:val="32"/>
          <w:highlight w:val="none"/>
        </w:rPr>
        <w:t>按照上述指导思想编制的</w:t>
      </w:r>
      <w:r>
        <w:rPr>
          <w:rFonts w:hint="eastAsia" w:eastAsia="仿宋_GB2312"/>
          <w:color w:val="000000"/>
          <w:sz w:val="32"/>
          <w:szCs w:val="32"/>
          <w:highlight w:val="none"/>
          <w:lang w:eastAsia="zh-CN"/>
        </w:rPr>
        <w:t>2024年</w:t>
      </w:r>
      <w:r>
        <w:rPr>
          <w:rFonts w:eastAsia="仿宋_GB2312"/>
          <w:color w:val="000000"/>
          <w:sz w:val="32"/>
          <w:szCs w:val="32"/>
          <w:highlight w:val="none"/>
        </w:rPr>
        <w:t>预算草案主要内容如下：</w:t>
      </w:r>
    </w:p>
    <w:p>
      <w:pPr>
        <w:shd w:val="clear"/>
        <w:spacing w:line="600" w:lineRule="exact"/>
        <w:ind w:firstLine="630" w:firstLineChars="197"/>
        <w:rPr>
          <w:rFonts w:ascii="楷体_GB2312" w:hAnsi="仿宋" w:eastAsia="楷体_GB2312"/>
          <w:bCs/>
          <w:sz w:val="32"/>
          <w:szCs w:val="32"/>
        </w:rPr>
      </w:pPr>
      <w:r>
        <w:rPr>
          <w:rFonts w:hint="eastAsia" w:ascii="楷体_GB2312" w:hAnsi="仿宋" w:eastAsia="楷体_GB2312"/>
          <w:bCs/>
          <w:sz w:val="32"/>
          <w:szCs w:val="32"/>
        </w:rPr>
        <w:t>（一）一般公共预算安排</w:t>
      </w:r>
    </w:p>
    <w:p>
      <w:pPr>
        <w:shd w:val="clear"/>
        <w:spacing w:line="600" w:lineRule="exact"/>
        <w:ind w:firstLine="630" w:firstLineChars="197"/>
        <w:rPr>
          <w:rFonts w:hint="eastAsia"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年一般公共预算，在收入上，充分考虑经济因素，按实安排；在支出上，突出“保刚性”，对人员经费和社会保障支出，均作了足额安排；对部分运转性质的项目支出作了压缩。</w:t>
      </w:r>
    </w:p>
    <w:p>
      <w:pPr>
        <w:shd w:val="clear"/>
        <w:spacing w:line="62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全镇一般公共预算收入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安排7472</w:t>
      </w:r>
      <w:r>
        <w:rPr>
          <w:rFonts w:hint="eastAsia" w:ascii="仿宋_GB2312" w:hAnsi="仿宋" w:eastAsia="仿宋_GB2312"/>
          <w:bCs/>
          <w:sz w:val="32"/>
          <w:szCs w:val="32"/>
        </w:rPr>
        <w:t>万元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其中：</w:t>
      </w:r>
      <w:r>
        <w:rPr>
          <w:rFonts w:hint="eastAsia" w:ascii="仿宋_GB2312" w:hAnsi="仿宋" w:eastAsia="仿宋_GB2312"/>
          <w:bCs/>
          <w:sz w:val="32"/>
          <w:szCs w:val="32"/>
        </w:rPr>
        <w:t>税收收入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7400</w:t>
      </w:r>
      <w:r>
        <w:rPr>
          <w:rFonts w:hint="eastAsia" w:ascii="仿宋_GB2312" w:hAnsi="仿宋" w:eastAsia="仿宋_GB2312"/>
          <w:bCs/>
          <w:sz w:val="32"/>
          <w:szCs w:val="32"/>
        </w:rPr>
        <w:t>万元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</w:rPr>
        <w:t>非税收入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72</w:t>
      </w:r>
      <w:r>
        <w:rPr>
          <w:rFonts w:hint="eastAsia" w:ascii="仿宋_GB2312" w:hAnsi="仿宋" w:eastAsia="仿宋_GB2312"/>
          <w:bCs/>
          <w:sz w:val="32"/>
          <w:szCs w:val="32"/>
        </w:rPr>
        <w:t>万元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镇本级一般公共预算收入7472万元，加上转移性收入293.4万元（</w:t>
      </w:r>
      <w:r>
        <w:rPr>
          <w:rFonts w:hint="eastAsia" w:ascii="仿宋_GB2312" w:hAnsi="仿宋" w:eastAsia="仿宋_GB2312"/>
          <w:bCs/>
          <w:sz w:val="32"/>
          <w:szCs w:val="32"/>
        </w:rPr>
        <w:t>上级一般性转移支付收入293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.4</w:t>
      </w:r>
      <w:r>
        <w:rPr>
          <w:rFonts w:hint="eastAsia" w:ascii="仿宋_GB2312" w:hAnsi="仿宋" w:eastAsia="仿宋_GB2312"/>
          <w:bCs/>
          <w:sz w:val="32"/>
          <w:szCs w:val="32"/>
        </w:rPr>
        <w:t>万元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）后的收入总量为7765.4万元。</w:t>
      </w:r>
      <w:r>
        <w:rPr>
          <w:rFonts w:hint="eastAsia" w:ascii="仿宋_GB2312" w:hAnsi="仿宋" w:eastAsia="仿宋_GB2312"/>
          <w:bCs/>
          <w:sz w:val="32"/>
          <w:szCs w:val="32"/>
        </w:rPr>
        <w:t>镇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本级</w:t>
      </w:r>
      <w:r>
        <w:rPr>
          <w:rFonts w:hint="eastAsia" w:ascii="仿宋_GB2312" w:hAnsi="仿宋" w:eastAsia="仿宋_GB2312"/>
          <w:bCs/>
          <w:sz w:val="32"/>
          <w:szCs w:val="32"/>
        </w:rPr>
        <w:t>一般公共预算支出安排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7465.4</w:t>
      </w:r>
      <w:r>
        <w:rPr>
          <w:rFonts w:hint="eastAsia" w:ascii="仿宋_GB2312" w:hAnsi="仿宋" w:eastAsia="仿宋_GB2312"/>
          <w:bCs/>
          <w:sz w:val="32"/>
          <w:szCs w:val="32"/>
        </w:rPr>
        <w:t>万元，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加上</w:t>
      </w:r>
      <w:r>
        <w:rPr>
          <w:rFonts w:hint="eastAsia" w:ascii="仿宋_GB2312" w:hAnsi="仿宋" w:eastAsia="仿宋_GB2312"/>
          <w:bCs/>
          <w:sz w:val="32"/>
          <w:szCs w:val="32"/>
        </w:rPr>
        <w:t>上解支出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300</w:t>
      </w:r>
      <w:r>
        <w:rPr>
          <w:rFonts w:hint="eastAsia" w:ascii="仿宋_GB2312" w:hAnsi="仿宋" w:eastAsia="仿宋_GB2312"/>
          <w:bCs/>
          <w:sz w:val="32"/>
          <w:szCs w:val="32"/>
        </w:rPr>
        <w:t>万元，支出总额为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7765.4</w:t>
      </w:r>
      <w:r>
        <w:rPr>
          <w:rFonts w:hint="eastAsia" w:ascii="仿宋_GB2312" w:hAnsi="仿宋" w:eastAsia="仿宋_GB2312"/>
          <w:bCs/>
          <w:sz w:val="32"/>
          <w:szCs w:val="32"/>
        </w:rPr>
        <w:t>万元，收支平衡。</w:t>
      </w:r>
    </w:p>
    <w:p>
      <w:pPr>
        <w:shd w:val="clear"/>
        <w:spacing w:line="62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全镇一般公共预算支出安排的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7465.4</w:t>
      </w:r>
      <w:r>
        <w:rPr>
          <w:rFonts w:hint="eastAsia" w:ascii="仿宋_GB2312" w:hAnsi="仿宋" w:eastAsia="仿宋_GB2312"/>
          <w:bCs/>
          <w:sz w:val="32"/>
          <w:szCs w:val="32"/>
        </w:rPr>
        <w:t>万元，按功能分，具体安排为：（1）一般公共服务支出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1593.6</w:t>
      </w:r>
      <w:r>
        <w:rPr>
          <w:rFonts w:hint="eastAsia" w:ascii="仿宋_GB2312" w:hAnsi="仿宋" w:eastAsia="仿宋_GB2312"/>
          <w:bCs/>
          <w:sz w:val="32"/>
          <w:szCs w:val="32"/>
        </w:rPr>
        <w:t>万元；（2）教育支出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214.7</w:t>
      </w:r>
      <w:r>
        <w:rPr>
          <w:rFonts w:hint="eastAsia" w:ascii="仿宋_GB2312" w:hAnsi="仿宋" w:eastAsia="仿宋_GB2312"/>
          <w:bCs/>
          <w:sz w:val="32"/>
          <w:szCs w:val="32"/>
        </w:rPr>
        <w:t>万元；（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Cs/>
          <w:sz w:val="32"/>
          <w:szCs w:val="32"/>
        </w:rPr>
        <w:t>）社会保障和就业支出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593.6</w:t>
      </w:r>
      <w:r>
        <w:rPr>
          <w:rFonts w:hint="eastAsia" w:ascii="仿宋_GB2312" w:hAnsi="仿宋" w:eastAsia="仿宋_GB2312"/>
          <w:bCs/>
          <w:sz w:val="32"/>
          <w:szCs w:val="32"/>
        </w:rPr>
        <w:t>万元；（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）卫生健康支出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80.5</w:t>
      </w:r>
      <w:r>
        <w:rPr>
          <w:rFonts w:hint="eastAsia" w:ascii="仿宋_GB2312" w:hAnsi="仿宋" w:eastAsia="仿宋_GB2312"/>
          <w:bCs/>
          <w:sz w:val="32"/>
          <w:szCs w:val="32"/>
        </w:rPr>
        <w:t>万元；（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bCs/>
          <w:sz w:val="32"/>
          <w:szCs w:val="32"/>
        </w:rPr>
        <w:t>）城乡社区支出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259</w:t>
      </w:r>
      <w:r>
        <w:rPr>
          <w:rFonts w:hint="eastAsia" w:ascii="仿宋_GB2312" w:hAnsi="仿宋" w:eastAsia="仿宋_GB2312"/>
          <w:bCs/>
          <w:sz w:val="32"/>
          <w:szCs w:val="32"/>
        </w:rPr>
        <w:t>万元；（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）农林水支出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457</w:t>
      </w:r>
      <w:r>
        <w:rPr>
          <w:rFonts w:hint="eastAsia" w:ascii="仿宋_GB2312" w:hAnsi="仿宋" w:eastAsia="仿宋_GB2312"/>
          <w:bCs/>
          <w:sz w:val="32"/>
          <w:szCs w:val="32"/>
        </w:rPr>
        <w:t>万元；（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交通运输支出80万元；（8）</w:t>
      </w:r>
      <w:r>
        <w:rPr>
          <w:rFonts w:hint="eastAsia" w:ascii="仿宋_GB2312" w:hAnsi="仿宋" w:eastAsia="仿宋_GB2312"/>
          <w:bCs/>
          <w:sz w:val="32"/>
          <w:szCs w:val="32"/>
        </w:rPr>
        <w:t>资源勘探信息等支出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3850</w:t>
      </w:r>
      <w:r>
        <w:rPr>
          <w:rFonts w:hint="eastAsia" w:ascii="仿宋_GB2312" w:hAnsi="仿宋" w:eastAsia="仿宋_GB2312"/>
          <w:bCs/>
          <w:sz w:val="32"/>
          <w:szCs w:val="32"/>
        </w:rPr>
        <w:t>万元；（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bCs/>
          <w:sz w:val="32"/>
          <w:szCs w:val="32"/>
        </w:rPr>
        <w:t>）住房保障支出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137</w:t>
      </w:r>
      <w:r>
        <w:rPr>
          <w:rFonts w:hint="eastAsia" w:ascii="仿宋_GB2312" w:hAnsi="仿宋" w:eastAsia="仿宋_GB2312"/>
          <w:bCs/>
          <w:sz w:val="32"/>
          <w:szCs w:val="32"/>
        </w:rPr>
        <w:t>万元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bCs/>
          <w:sz w:val="32"/>
          <w:szCs w:val="32"/>
        </w:rPr>
        <w:t>（1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bCs/>
          <w:sz w:val="32"/>
          <w:szCs w:val="32"/>
        </w:rPr>
        <w:t>）预备费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200</w:t>
      </w:r>
      <w:r>
        <w:rPr>
          <w:rFonts w:hint="eastAsia" w:ascii="仿宋_GB2312" w:hAnsi="仿宋" w:eastAsia="仿宋_GB2312"/>
          <w:bCs/>
          <w:sz w:val="32"/>
          <w:szCs w:val="32"/>
        </w:rPr>
        <w:t>万元。</w:t>
      </w:r>
    </w:p>
    <w:p>
      <w:pPr>
        <w:shd w:val="clear"/>
        <w:spacing w:line="600" w:lineRule="exact"/>
        <w:ind w:firstLine="630" w:firstLineChars="197"/>
        <w:rPr>
          <w:rFonts w:ascii="楷体_GB2312" w:hAnsi="仿宋" w:eastAsia="楷体_GB2312"/>
          <w:bCs/>
          <w:sz w:val="32"/>
          <w:szCs w:val="32"/>
        </w:rPr>
      </w:pPr>
      <w:r>
        <w:rPr>
          <w:rFonts w:hint="eastAsia" w:ascii="楷体_GB2312" w:hAnsi="仿宋" w:eastAsia="楷体_GB2312"/>
          <w:bCs/>
          <w:sz w:val="32"/>
          <w:szCs w:val="32"/>
        </w:rPr>
        <w:t>（二）政府性基金预算安排</w:t>
      </w:r>
    </w:p>
    <w:p>
      <w:pPr>
        <w:shd w:val="clear"/>
        <w:spacing w:line="600" w:lineRule="exact"/>
        <w:ind w:firstLine="630" w:firstLineChars="197"/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政府性基金收入为市级收入，我镇没有该项收入，因而不具备编此预算条件，但为使预算完整，也将政府性基金预算加以提出，并将收支安排为“0”。</w:t>
      </w:r>
    </w:p>
    <w:p>
      <w:pPr>
        <w:shd w:val="clear"/>
        <w:spacing w:line="600" w:lineRule="exact"/>
        <w:ind w:firstLine="630" w:firstLineChars="197"/>
        <w:rPr>
          <w:rFonts w:ascii="楷体_GB2312" w:hAnsi="仿宋" w:eastAsia="楷体_GB2312"/>
          <w:bCs/>
          <w:sz w:val="32"/>
          <w:szCs w:val="32"/>
        </w:rPr>
      </w:pPr>
      <w:r>
        <w:rPr>
          <w:rFonts w:hint="eastAsia" w:ascii="楷体_GB2312" w:hAnsi="仿宋" w:eastAsia="楷体_GB2312"/>
          <w:bCs/>
          <w:sz w:val="32"/>
          <w:szCs w:val="32"/>
        </w:rPr>
        <w:t>（三）社会保险基金预算安排</w:t>
      </w:r>
    </w:p>
    <w:p>
      <w:pPr>
        <w:shd w:val="clear"/>
        <w:spacing w:line="600" w:lineRule="exact"/>
        <w:ind w:firstLine="630" w:firstLineChars="197"/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按照统筹级次，基本养老保险、“新农合”由市级统筹，所以未安排社会保险基金预算，但为使预算完整，也将社会保险基金预算加以提出，并将收支安排为“0”。</w:t>
      </w:r>
    </w:p>
    <w:p>
      <w:pPr>
        <w:shd w:val="clear"/>
        <w:spacing w:line="600" w:lineRule="exact"/>
        <w:ind w:firstLine="630" w:firstLineChars="197"/>
        <w:rPr>
          <w:rFonts w:hint="eastAsia" w:ascii="楷体_GB2312" w:hAnsi="仿宋" w:eastAsia="楷体_GB2312"/>
          <w:bCs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bCs/>
          <w:sz w:val="32"/>
          <w:szCs w:val="32"/>
        </w:rPr>
        <w:t>（</w:t>
      </w:r>
      <w:r>
        <w:rPr>
          <w:rFonts w:hint="eastAsia" w:ascii="楷体_GB2312" w:hAnsi="仿宋" w:eastAsia="楷体_GB2312"/>
          <w:bCs/>
          <w:sz w:val="32"/>
          <w:szCs w:val="32"/>
          <w:lang w:eastAsia="zh-CN"/>
        </w:rPr>
        <w:t>四</w:t>
      </w:r>
      <w:r>
        <w:rPr>
          <w:rFonts w:hint="eastAsia" w:ascii="楷体_GB2312" w:hAnsi="仿宋" w:eastAsia="楷体_GB2312"/>
          <w:bCs/>
          <w:sz w:val="32"/>
          <w:szCs w:val="32"/>
        </w:rPr>
        <w:t>）</w:t>
      </w:r>
      <w:r>
        <w:rPr>
          <w:rFonts w:hint="eastAsia" w:ascii="楷体_GB2312" w:hAnsi="仿宋" w:eastAsia="楷体_GB2312"/>
          <w:bCs/>
          <w:sz w:val="32"/>
          <w:szCs w:val="32"/>
          <w:lang w:eastAsia="zh-CN"/>
        </w:rPr>
        <w:t>国有资本经营</w:t>
      </w:r>
      <w:r>
        <w:rPr>
          <w:rFonts w:hint="eastAsia" w:ascii="楷体_GB2312" w:hAnsi="仿宋" w:eastAsia="楷体_GB2312"/>
          <w:bCs/>
          <w:sz w:val="32"/>
          <w:szCs w:val="32"/>
        </w:rPr>
        <w:t>预算安排</w:t>
      </w:r>
    </w:p>
    <w:p>
      <w:pPr>
        <w:shd w:val="clear"/>
        <w:spacing w:line="600" w:lineRule="exact"/>
        <w:ind w:firstLine="630" w:firstLineChars="197"/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我镇无国有企业，因而不具备编此预算条件，所以未安排国有资本基金预算，但为使预算完整，也将国有资本预算加以提出，并将收支安排为“0”。</w:t>
      </w:r>
    </w:p>
    <w:p>
      <w:pPr>
        <w:shd w:val="clear"/>
        <w:spacing w:line="600" w:lineRule="exact"/>
        <w:ind w:firstLine="630" w:firstLineChars="197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执行好这一预算，关键在于难中求进，在“进”字上下功夫。</w:t>
      </w:r>
      <w:r>
        <w:rPr>
          <w:rFonts w:hint="eastAsia" w:ascii="仿宋_GB2312" w:hAnsi="仿宋" w:eastAsia="仿宋_GB2312"/>
          <w:b/>
          <w:bCs w:val="0"/>
          <w:sz w:val="32"/>
          <w:szCs w:val="32"/>
        </w:rPr>
        <w:t>一是</w:t>
      </w:r>
      <w:r>
        <w:rPr>
          <w:rFonts w:hint="eastAsia" w:ascii="仿宋_GB2312" w:hAnsi="仿宋" w:eastAsia="仿宋_GB2312"/>
          <w:bCs/>
          <w:sz w:val="32"/>
          <w:szCs w:val="32"/>
        </w:rPr>
        <w:t>收入求增长。按照做实收入要求，培育和寻求新的财源增长点，强化收入调度，向征管要收入。看住存量，狠抓增量，统筹整合财力资源，增加政府可用财力。</w:t>
      </w:r>
      <w:r>
        <w:rPr>
          <w:rFonts w:hint="eastAsia" w:ascii="仿宋_GB2312" w:hAnsi="仿宋" w:eastAsia="仿宋_GB2312"/>
          <w:b/>
          <w:bCs w:val="0"/>
          <w:sz w:val="32"/>
          <w:szCs w:val="32"/>
        </w:rPr>
        <w:t>二是</w:t>
      </w:r>
      <w:r>
        <w:rPr>
          <w:rFonts w:hint="eastAsia" w:ascii="仿宋_GB2312" w:hAnsi="仿宋" w:eastAsia="仿宋_GB2312"/>
          <w:bCs/>
          <w:sz w:val="32"/>
          <w:szCs w:val="32"/>
        </w:rPr>
        <w:t>支出求保障。坚持“统筹兼顾、勤俭节约、量力而行、讲求绩效”的原则，动态调整和优化支出结构，把有限的资金用在刀刃上；依法强化预算约束力，不断完善和强化建设投资等项目审核管理，大力控制和压缩非生产性开支，“三公”经费要严格控制在预算之内；积极筹措调度资金，确保工资发放和政权运转，确保民生支出，确保发展、改革和稳定的急重需要。</w:t>
      </w:r>
      <w:r>
        <w:rPr>
          <w:rFonts w:hint="eastAsia" w:ascii="仿宋_GB2312" w:hAnsi="仿宋" w:eastAsia="仿宋_GB2312"/>
          <w:b/>
          <w:bCs w:val="0"/>
          <w:sz w:val="32"/>
          <w:szCs w:val="32"/>
        </w:rPr>
        <w:t>三是</w:t>
      </w:r>
      <w:r>
        <w:rPr>
          <w:rFonts w:hint="eastAsia" w:ascii="仿宋_GB2312" w:hAnsi="仿宋" w:eastAsia="仿宋_GB2312"/>
          <w:bCs/>
          <w:sz w:val="32"/>
          <w:szCs w:val="32"/>
        </w:rPr>
        <w:t>管理求提升。深化预算管理改革，切实完善基本支出预算定额体系，提高预算完整性，逐步细化预算公开内容，自觉接受社会监督；不断创新财政各项支出管理制度，强化财政监督职能，扎实、扎密、扎严财政制度“笼子”；完善强农惠民管理，优化财政综合服务保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540" w:lineRule="atLeast"/>
        <w:ind w:left="0" w:right="0" w:firstLine="600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 w:cs="Times New Roman"/>
          <w:bCs/>
          <w:kern w:val="2"/>
          <w:sz w:val="32"/>
          <w:szCs w:val="32"/>
          <w:lang w:val="en-US" w:eastAsia="zh-CN" w:bidi="ar-SA"/>
        </w:rPr>
        <w:t>各位代表：2024年，我们将认真贯彻落实党的二十大精神，在镇党委的正确领导下，在镇人大的监督支持下坚持稳中求进的总基调，狠抓收入提振信心，规范管理严控风险，在奋力谱写中国式现代化的徐岭篇章中彰显新担当、展现新作为、作出新贡献。</w:t>
      </w:r>
      <w:r>
        <w:rPr>
          <w:rFonts w:hint="eastAsia" w:ascii="仿宋_GB2312" w:hAnsi="楷体" w:eastAsia="仿宋_GB2312"/>
          <w:sz w:val="32"/>
          <w:szCs w:val="32"/>
        </w:rPr>
        <w:t xml:space="preserve">             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9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9"/>
        <w:sz w:val="24"/>
        <w:szCs w:val="24"/>
      </w:rPr>
      <w:t>- 2 -</w:t>
    </w:r>
    <w:r>
      <w:rPr>
        <w:sz w:val="24"/>
        <w:szCs w:val="24"/>
      </w:rP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VkMjE1Y2M4ZDVlNTNlZmIxMGFiODZiYjQ2ZTA5YjMifQ=="/>
  </w:docVars>
  <w:rsids>
    <w:rsidRoot w:val="00E74FFE"/>
    <w:rsid w:val="000001F2"/>
    <w:rsid w:val="00010A77"/>
    <w:rsid w:val="0001467A"/>
    <w:rsid w:val="0001515E"/>
    <w:rsid w:val="000206C7"/>
    <w:rsid w:val="00021F86"/>
    <w:rsid w:val="00023AA6"/>
    <w:rsid w:val="00027A64"/>
    <w:rsid w:val="00030192"/>
    <w:rsid w:val="00033F1A"/>
    <w:rsid w:val="00037BDF"/>
    <w:rsid w:val="00042951"/>
    <w:rsid w:val="000435E7"/>
    <w:rsid w:val="00046BB6"/>
    <w:rsid w:val="00047F2B"/>
    <w:rsid w:val="00050044"/>
    <w:rsid w:val="00067782"/>
    <w:rsid w:val="00067FD6"/>
    <w:rsid w:val="00074008"/>
    <w:rsid w:val="00091983"/>
    <w:rsid w:val="00096D74"/>
    <w:rsid w:val="000A074E"/>
    <w:rsid w:val="000A0F0B"/>
    <w:rsid w:val="000A44F5"/>
    <w:rsid w:val="000A5BA8"/>
    <w:rsid w:val="000A5E3A"/>
    <w:rsid w:val="000B123C"/>
    <w:rsid w:val="000C46C9"/>
    <w:rsid w:val="000C5D81"/>
    <w:rsid w:val="000E50F3"/>
    <w:rsid w:val="000E5601"/>
    <w:rsid w:val="000E573B"/>
    <w:rsid w:val="000F0CCC"/>
    <w:rsid w:val="000F3D7C"/>
    <w:rsid w:val="0011388C"/>
    <w:rsid w:val="00122675"/>
    <w:rsid w:val="00122EE2"/>
    <w:rsid w:val="00123B49"/>
    <w:rsid w:val="00127618"/>
    <w:rsid w:val="00150662"/>
    <w:rsid w:val="001702E7"/>
    <w:rsid w:val="00180ACE"/>
    <w:rsid w:val="00191566"/>
    <w:rsid w:val="001A194A"/>
    <w:rsid w:val="001A1DBB"/>
    <w:rsid w:val="001A556B"/>
    <w:rsid w:val="001B1B7D"/>
    <w:rsid w:val="001B39C0"/>
    <w:rsid w:val="001B3F01"/>
    <w:rsid w:val="001C1634"/>
    <w:rsid w:val="001D3F9F"/>
    <w:rsid w:val="001E5CC3"/>
    <w:rsid w:val="001F46F6"/>
    <w:rsid w:val="00210243"/>
    <w:rsid w:val="00210D44"/>
    <w:rsid w:val="00213239"/>
    <w:rsid w:val="0021779A"/>
    <w:rsid w:val="0022259C"/>
    <w:rsid w:val="0022351B"/>
    <w:rsid w:val="00225FF9"/>
    <w:rsid w:val="00233697"/>
    <w:rsid w:val="0023573E"/>
    <w:rsid w:val="00240ACC"/>
    <w:rsid w:val="00243DDC"/>
    <w:rsid w:val="00244C6A"/>
    <w:rsid w:val="002631BC"/>
    <w:rsid w:val="00272A11"/>
    <w:rsid w:val="002772BB"/>
    <w:rsid w:val="00284AC5"/>
    <w:rsid w:val="002A30DA"/>
    <w:rsid w:val="002A5D94"/>
    <w:rsid w:val="002A5E97"/>
    <w:rsid w:val="002A6FC9"/>
    <w:rsid w:val="002B23BF"/>
    <w:rsid w:val="002B4B66"/>
    <w:rsid w:val="002B6D1C"/>
    <w:rsid w:val="002B7664"/>
    <w:rsid w:val="002C1FA7"/>
    <w:rsid w:val="002C7A1E"/>
    <w:rsid w:val="002D0D42"/>
    <w:rsid w:val="002D3729"/>
    <w:rsid w:val="0030060E"/>
    <w:rsid w:val="00303D04"/>
    <w:rsid w:val="00305150"/>
    <w:rsid w:val="00306F13"/>
    <w:rsid w:val="00307254"/>
    <w:rsid w:val="00307AA8"/>
    <w:rsid w:val="00312C71"/>
    <w:rsid w:val="00317BBD"/>
    <w:rsid w:val="003218FA"/>
    <w:rsid w:val="00324895"/>
    <w:rsid w:val="00332FE3"/>
    <w:rsid w:val="0033569D"/>
    <w:rsid w:val="003407F5"/>
    <w:rsid w:val="00354CD1"/>
    <w:rsid w:val="0035504C"/>
    <w:rsid w:val="00360692"/>
    <w:rsid w:val="00365040"/>
    <w:rsid w:val="00373483"/>
    <w:rsid w:val="00381616"/>
    <w:rsid w:val="003826B7"/>
    <w:rsid w:val="00386A2E"/>
    <w:rsid w:val="00393B13"/>
    <w:rsid w:val="003950B9"/>
    <w:rsid w:val="003965A8"/>
    <w:rsid w:val="003A6A0B"/>
    <w:rsid w:val="003B674B"/>
    <w:rsid w:val="003B701A"/>
    <w:rsid w:val="003C59DA"/>
    <w:rsid w:val="003E0AF4"/>
    <w:rsid w:val="003E4B71"/>
    <w:rsid w:val="00400D20"/>
    <w:rsid w:val="00400D37"/>
    <w:rsid w:val="00411DF0"/>
    <w:rsid w:val="004125D3"/>
    <w:rsid w:val="00422062"/>
    <w:rsid w:val="00423634"/>
    <w:rsid w:val="00424646"/>
    <w:rsid w:val="004507E5"/>
    <w:rsid w:val="00453D97"/>
    <w:rsid w:val="00453F0C"/>
    <w:rsid w:val="004566C1"/>
    <w:rsid w:val="00456B98"/>
    <w:rsid w:val="00457BEE"/>
    <w:rsid w:val="00475E31"/>
    <w:rsid w:val="00483D79"/>
    <w:rsid w:val="00490E50"/>
    <w:rsid w:val="004A1040"/>
    <w:rsid w:val="004A71E2"/>
    <w:rsid w:val="004A775B"/>
    <w:rsid w:val="004A7D5E"/>
    <w:rsid w:val="004B1041"/>
    <w:rsid w:val="004C394D"/>
    <w:rsid w:val="004D6C93"/>
    <w:rsid w:val="004E07F0"/>
    <w:rsid w:val="004F0369"/>
    <w:rsid w:val="004F0A84"/>
    <w:rsid w:val="004F3FBA"/>
    <w:rsid w:val="00503D64"/>
    <w:rsid w:val="00505C19"/>
    <w:rsid w:val="00516C8B"/>
    <w:rsid w:val="005312DE"/>
    <w:rsid w:val="00543312"/>
    <w:rsid w:val="0054505B"/>
    <w:rsid w:val="00553E7B"/>
    <w:rsid w:val="005627AC"/>
    <w:rsid w:val="00565FE6"/>
    <w:rsid w:val="00570EDB"/>
    <w:rsid w:val="00582E53"/>
    <w:rsid w:val="0059233B"/>
    <w:rsid w:val="00593996"/>
    <w:rsid w:val="005A1D6E"/>
    <w:rsid w:val="005A41BA"/>
    <w:rsid w:val="005B1506"/>
    <w:rsid w:val="005B7FB4"/>
    <w:rsid w:val="005D2E73"/>
    <w:rsid w:val="005D3988"/>
    <w:rsid w:val="005D5836"/>
    <w:rsid w:val="005F248A"/>
    <w:rsid w:val="00603B0C"/>
    <w:rsid w:val="0061103E"/>
    <w:rsid w:val="00621F17"/>
    <w:rsid w:val="00622CBF"/>
    <w:rsid w:val="00626AA4"/>
    <w:rsid w:val="00636A7A"/>
    <w:rsid w:val="006449BD"/>
    <w:rsid w:val="00653BA0"/>
    <w:rsid w:val="00677A66"/>
    <w:rsid w:val="0068408C"/>
    <w:rsid w:val="006A453A"/>
    <w:rsid w:val="006A6979"/>
    <w:rsid w:val="006B183B"/>
    <w:rsid w:val="006B70E5"/>
    <w:rsid w:val="006D3035"/>
    <w:rsid w:val="006D468D"/>
    <w:rsid w:val="006D52F1"/>
    <w:rsid w:val="006E38DB"/>
    <w:rsid w:val="006E479B"/>
    <w:rsid w:val="006F0EA7"/>
    <w:rsid w:val="006F29A3"/>
    <w:rsid w:val="006F4D32"/>
    <w:rsid w:val="0071145F"/>
    <w:rsid w:val="00724EF3"/>
    <w:rsid w:val="00733B92"/>
    <w:rsid w:val="007360E4"/>
    <w:rsid w:val="00751FA1"/>
    <w:rsid w:val="00754BBD"/>
    <w:rsid w:val="00761D32"/>
    <w:rsid w:val="00772A08"/>
    <w:rsid w:val="00792B3B"/>
    <w:rsid w:val="00793079"/>
    <w:rsid w:val="007A1A42"/>
    <w:rsid w:val="007A2109"/>
    <w:rsid w:val="007A447F"/>
    <w:rsid w:val="007D55A8"/>
    <w:rsid w:val="007D67B9"/>
    <w:rsid w:val="007E0F99"/>
    <w:rsid w:val="007E249D"/>
    <w:rsid w:val="007E2ECF"/>
    <w:rsid w:val="007F23F3"/>
    <w:rsid w:val="007F5E3B"/>
    <w:rsid w:val="007F6D1D"/>
    <w:rsid w:val="007F7D35"/>
    <w:rsid w:val="0080404D"/>
    <w:rsid w:val="00824F1D"/>
    <w:rsid w:val="0083094D"/>
    <w:rsid w:val="0083687C"/>
    <w:rsid w:val="00836B2D"/>
    <w:rsid w:val="00836F98"/>
    <w:rsid w:val="00837497"/>
    <w:rsid w:val="00840AED"/>
    <w:rsid w:val="00844323"/>
    <w:rsid w:val="008525B9"/>
    <w:rsid w:val="00860CB8"/>
    <w:rsid w:val="008668B0"/>
    <w:rsid w:val="00870A2D"/>
    <w:rsid w:val="008727F5"/>
    <w:rsid w:val="00874403"/>
    <w:rsid w:val="0087606B"/>
    <w:rsid w:val="00876990"/>
    <w:rsid w:val="0088047C"/>
    <w:rsid w:val="00886FF6"/>
    <w:rsid w:val="008916B5"/>
    <w:rsid w:val="008950D2"/>
    <w:rsid w:val="008A451B"/>
    <w:rsid w:val="008C2CDF"/>
    <w:rsid w:val="008C53A1"/>
    <w:rsid w:val="008C6DD4"/>
    <w:rsid w:val="008D520C"/>
    <w:rsid w:val="008D557C"/>
    <w:rsid w:val="008D7F43"/>
    <w:rsid w:val="008F650E"/>
    <w:rsid w:val="0091388F"/>
    <w:rsid w:val="00913ED3"/>
    <w:rsid w:val="00924872"/>
    <w:rsid w:val="009368D6"/>
    <w:rsid w:val="00944621"/>
    <w:rsid w:val="00945DC6"/>
    <w:rsid w:val="0095002B"/>
    <w:rsid w:val="00950207"/>
    <w:rsid w:val="00951A3D"/>
    <w:rsid w:val="00954235"/>
    <w:rsid w:val="00957B59"/>
    <w:rsid w:val="00957E5F"/>
    <w:rsid w:val="00960F94"/>
    <w:rsid w:val="00964558"/>
    <w:rsid w:val="00967B01"/>
    <w:rsid w:val="00977026"/>
    <w:rsid w:val="009916A6"/>
    <w:rsid w:val="009951DB"/>
    <w:rsid w:val="009A169C"/>
    <w:rsid w:val="009B5458"/>
    <w:rsid w:val="009B72D0"/>
    <w:rsid w:val="009C0895"/>
    <w:rsid w:val="009C20E0"/>
    <w:rsid w:val="009C3854"/>
    <w:rsid w:val="009C4500"/>
    <w:rsid w:val="009D0F53"/>
    <w:rsid w:val="009D7C63"/>
    <w:rsid w:val="009E34C4"/>
    <w:rsid w:val="009E55A5"/>
    <w:rsid w:val="009E7EE3"/>
    <w:rsid w:val="009F3402"/>
    <w:rsid w:val="00A051E5"/>
    <w:rsid w:val="00A06C8C"/>
    <w:rsid w:val="00A240A1"/>
    <w:rsid w:val="00A27650"/>
    <w:rsid w:val="00A44636"/>
    <w:rsid w:val="00A4491D"/>
    <w:rsid w:val="00A56CF9"/>
    <w:rsid w:val="00A61E98"/>
    <w:rsid w:val="00A646AF"/>
    <w:rsid w:val="00A64F83"/>
    <w:rsid w:val="00A67E65"/>
    <w:rsid w:val="00A72CFC"/>
    <w:rsid w:val="00A7397D"/>
    <w:rsid w:val="00A813E8"/>
    <w:rsid w:val="00A83332"/>
    <w:rsid w:val="00A861A9"/>
    <w:rsid w:val="00A925BA"/>
    <w:rsid w:val="00A938E5"/>
    <w:rsid w:val="00AA0792"/>
    <w:rsid w:val="00AB0B09"/>
    <w:rsid w:val="00AB25BB"/>
    <w:rsid w:val="00AD1AB9"/>
    <w:rsid w:val="00AD75CB"/>
    <w:rsid w:val="00AE4A11"/>
    <w:rsid w:val="00AF11BB"/>
    <w:rsid w:val="00B02D8A"/>
    <w:rsid w:val="00B05CE2"/>
    <w:rsid w:val="00B075C1"/>
    <w:rsid w:val="00B1009C"/>
    <w:rsid w:val="00B12E0B"/>
    <w:rsid w:val="00B21658"/>
    <w:rsid w:val="00B2459C"/>
    <w:rsid w:val="00B24C5C"/>
    <w:rsid w:val="00B34C57"/>
    <w:rsid w:val="00B44DFA"/>
    <w:rsid w:val="00B51ADC"/>
    <w:rsid w:val="00B54F58"/>
    <w:rsid w:val="00B57036"/>
    <w:rsid w:val="00B661FB"/>
    <w:rsid w:val="00B73360"/>
    <w:rsid w:val="00B74BD4"/>
    <w:rsid w:val="00B81D97"/>
    <w:rsid w:val="00B82164"/>
    <w:rsid w:val="00BA08E8"/>
    <w:rsid w:val="00BA0BDF"/>
    <w:rsid w:val="00BA311C"/>
    <w:rsid w:val="00BA41C1"/>
    <w:rsid w:val="00BA65F0"/>
    <w:rsid w:val="00BD02E0"/>
    <w:rsid w:val="00BD032B"/>
    <w:rsid w:val="00BD4368"/>
    <w:rsid w:val="00BE3565"/>
    <w:rsid w:val="00C00FEF"/>
    <w:rsid w:val="00C023D4"/>
    <w:rsid w:val="00C06387"/>
    <w:rsid w:val="00C10BE1"/>
    <w:rsid w:val="00C1669D"/>
    <w:rsid w:val="00C2226C"/>
    <w:rsid w:val="00C2423B"/>
    <w:rsid w:val="00C30F9F"/>
    <w:rsid w:val="00C31612"/>
    <w:rsid w:val="00C50991"/>
    <w:rsid w:val="00C53597"/>
    <w:rsid w:val="00C56CF4"/>
    <w:rsid w:val="00C62528"/>
    <w:rsid w:val="00C73E68"/>
    <w:rsid w:val="00C80387"/>
    <w:rsid w:val="00C97BCE"/>
    <w:rsid w:val="00CA19EE"/>
    <w:rsid w:val="00CA33FF"/>
    <w:rsid w:val="00CB0273"/>
    <w:rsid w:val="00CB1EC8"/>
    <w:rsid w:val="00CB427E"/>
    <w:rsid w:val="00CC4ADF"/>
    <w:rsid w:val="00CC57D0"/>
    <w:rsid w:val="00CC724F"/>
    <w:rsid w:val="00CD1694"/>
    <w:rsid w:val="00CD2474"/>
    <w:rsid w:val="00CD319B"/>
    <w:rsid w:val="00CE3B4B"/>
    <w:rsid w:val="00CE4D3B"/>
    <w:rsid w:val="00CE5645"/>
    <w:rsid w:val="00CE6D51"/>
    <w:rsid w:val="00CF1AFE"/>
    <w:rsid w:val="00CF2830"/>
    <w:rsid w:val="00CF6F9C"/>
    <w:rsid w:val="00D10375"/>
    <w:rsid w:val="00D115A0"/>
    <w:rsid w:val="00D16F85"/>
    <w:rsid w:val="00D247E7"/>
    <w:rsid w:val="00D2544E"/>
    <w:rsid w:val="00D2663E"/>
    <w:rsid w:val="00D30E36"/>
    <w:rsid w:val="00D32AB7"/>
    <w:rsid w:val="00D40B79"/>
    <w:rsid w:val="00D40E4F"/>
    <w:rsid w:val="00D53FE6"/>
    <w:rsid w:val="00D557A6"/>
    <w:rsid w:val="00D56C72"/>
    <w:rsid w:val="00D6035D"/>
    <w:rsid w:val="00D62AC8"/>
    <w:rsid w:val="00D6617C"/>
    <w:rsid w:val="00D83473"/>
    <w:rsid w:val="00D9036F"/>
    <w:rsid w:val="00D909DB"/>
    <w:rsid w:val="00D92055"/>
    <w:rsid w:val="00D96BAF"/>
    <w:rsid w:val="00D978B4"/>
    <w:rsid w:val="00DA7217"/>
    <w:rsid w:val="00DA7832"/>
    <w:rsid w:val="00DB1DAD"/>
    <w:rsid w:val="00DB2B1D"/>
    <w:rsid w:val="00DD6C0C"/>
    <w:rsid w:val="00DE07B1"/>
    <w:rsid w:val="00DE487B"/>
    <w:rsid w:val="00DE5D5B"/>
    <w:rsid w:val="00DF257C"/>
    <w:rsid w:val="00DF27B0"/>
    <w:rsid w:val="00E02DE7"/>
    <w:rsid w:val="00E04A6D"/>
    <w:rsid w:val="00E24866"/>
    <w:rsid w:val="00E26DC4"/>
    <w:rsid w:val="00E31126"/>
    <w:rsid w:val="00E3352C"/>
    <w:rsid w:val="00E35067"/>
    <w:rsid w:val="00E70376"/>
    <w:rsid w:val="00E71292"/>
    <w:rsid w:val="00E74FFE"/>
    <w:rsid w:val="00E75CC6"/>
    <w:rsid w:val="00E768C8"/>
    <w:rsid w:val="00E805D8"/>
    <w:rsid w:val="00E9316D"/>
    <w:rsid w:val="00E94006"/>
    <w:rsid w:val="00EA45A4"/>
    <w:rsid w:val="00EB3DD3"/>
    <w:rsid w:val="00EB5CC2"/>
    <w:rsid w:val="00ED792C"/>
    <w:rsid w:val="00EE200A"/>
    <w:rsid w:val="00EF2283"/>
    <w:rsid w:val="00F06C73"/>
    <w:rsid w:val="00F11CAD"/>
    <w:rsid w:val="00F21017"/>
    <w:rsid w:val="00F27726"/>
    <w:rsid w:val="00F27CEE"/>
    <w:rsid w:val="00F30825"/>
    <w:rsid w:val="00F3089A"/>
    <w:rsid w:val="00F33B34"/>
    <w:rsid w:val="00F3692B"/>
    <w:rsid w:val="00F42B9C"/>
    <w:rsid w:val="00F46DA6"/>
    <w:rsid w:val="00F512B6"/>
    <w:rsid w:val="00F547EB"/>
    <w:rsid w:val="00F55299"/>
    <w:rsid w:val="00F65FC4"/>
    <w:rsid w:val="00F7004B"/>
    <w:rsid w:val="00F7062E"/>
    <w:rsid w:val="00F70F6A"/>
    <w:rsid w:val="00F727F5"/>
    <w:rsid w:val="00F92C48"/>
    <w:rsid w:val="00F9621F"/>
    <w:rsid w:val="00F96CF3"/>
    <w:rsid w:val="00FA1DA5"/>
    <w:rsid w:val="00FB4FE0"/>
    <w:rsid w:val="00FC0B0F"/>
    <w:rsid w:val="00FC137B"/>
    <w:rsid w:val="00FC5EF8"/>
    <w:rsid w:val="00FC6D0A"/>
    <w:rsid w:val="00FC6FDC"/>
    <w:rsid w:val="00FE1354"/>
    <w:rsid w:val="00FE23A4"/>
    <w:rsid w:val="00FE63F7"/>
    <w:rsid w:val="00FE6FA7"/>
    <w:rsid w:val="00FF2161"/>
    <w:rsid w:val="02DD7FE3"/>
    <w:rsid w:val="03C00841"/>
    <w:rsid w:val="047D34C5"/>
    <w:rsid w:val="06542CB4"/>
    <w:rsid w:val="0A2B2274"/>
    <w:rsid w:val="0D3D2FAC"/>
    <w:rsid w:val="0FC87CEA"/>
    <w:rsid w:val="10500EC1"/>
    <w:rsid w:val="13704B4D"/>
    <w:rsid w:val="15605952"/>
    <w:rsid w:val="188E29F2"/>
    <w:rsid w:val="192A28AC"/>
    <w:rsid w:val="1C3453A4"/>
    <w:rsid w:val="27906EE8"/>
    <w:rsid w:val="2CEF6576"/>
    <w:rsid w:val="2D265A0F"/>
    <w:rsid w:val="2E4A6781"/>
    <w:rsid w:val="33332E1D"/>
    <w:rsid w:val="34DB7064"/>
    <w:rsid w:val="361C60CF"/>
    <w:rsid w:val="3DD82F3F"/>
    <w:rsid w:val="3E1C2832"/>
    <w:rsid w:val="429C58B3"/>
    <w:rsid w:val="43F84BEF"/>
    <w:rsid w:val="45122352"/>
    <w:rsid w:val="45877457"/>
    <w:rsid w:val="4597723C"/>
    <w:rsid w:val="45FC7C7C"/>
    <w:rsid w:val="464C2B5D"/>
    <w:rsid w:val="47626A3F"/>
    <w:rsid w:val="49D61BFB"/>
    <w:rsid w:val="4A946D38"/>
    <w:rsid w:val="4B75001F"/>
    <w:rsid w:val="4D310B9E"/>
    <w:rsid w:val="50106933"/>
    <w:rsid w:val="558D0D0C"/>
    <w:rsid w:val="5B846996"/>
    <w:rsid w:val="5C400B7A"/>
    <w:rsid w:val="5F202618"/>
    <w:rsid w:val="5F994202"/>
    <w:rsid w:val="60F92079"/>
    <w:rsid w:val="64F6082F"/>
    <w:rsid w:val="68F05C48"/>
    <w:rsid w:val="69930483"/>
    <w:rsid w:val="72A05165"/>
    <w:rsid w:val="75FA747D"/>
    <w:rsid w:val="76571277"/>
    <w:rsid w:val="76B3090A"/>
    <w:rsid w:val="76C6416E"/>
    <w:rsid w:val="7894501D"/>
    <w:rsid w:val="79BB3DB1"/>
    <w:rsid w:val="79BF2B6D"/>
    <w:rsid w:val="7BA7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00" w:beforeAutospacing="1" w:after="120"/>
    </w:pPr>
    <w:rPr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2551</Words>
  <Characters>2705</Characters>
  <Lines>16</Lines>
  <Paragraphs>4</Paragraphs>
  <TotalTime>0</TotalTime>
  <ScaleCrop>false</ScaleCrop>
  <LinksUpToDate>false</LinksUpToDate>
  <CharactersWithSpaces>2747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2020-11-26T05:28:00Z</dcterms:created>
  <dc:creator>微软用户</dc:creator>
  <cp:lastModifiedBy>Administrator</cp:lastModifiedBy>
  <cp:lastPrinted>2021-11-30T09:10:00Z</cp:lastPrinted>
  <dcterms:modified xsi:type="dcterms:W3CDTF">2023-12-19T02:08:52Z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809B6A683D76459C95D3C5BB2232849E</vt:lpwstr>
  </property>
</Properties>
</file>