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A42A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Lines="50" w:line="600" w:lineRule="exact"/>
        <w:jc w:val="center"/>
        <w:textAlignment w:val="auto"/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 w14:paraId="4F8EB7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Lines="50" w:line="600" w:lineRule="exact"/>
        <w:jc w:val="center"/>
        <w:textAlignment w:val="auto"/>
        <w:rPr>
          <w:rFonts w:ascii="方正小标宋简体" w:hAnsi="宋体" w:eastAsia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关于庄河市202</w:t>
      </w: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年预算执行情况</w:t>
      </w:r>
    </w:p>
    <w:p w14:paraId="60D1F5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方正小标宋简体" w:hAnsi="宋体" w:eastAsia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和202</w:t>
      </w: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简体" w:hAnsi="宋体" w:eastAsia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年预算草案的书面报告</w:t>
      </w:r>
    </w:p>
    <w:p w14:paraId="29D927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/>
          <w:color w:val="000000" w:themeColor="text1"/>
          <w:kern w:val="0"/>
          <w14:textFill>
            <w14:solidFill>
              <w14:schemeClr w14:val="tx1"/>
            </w14:solidFill>
          </w14:textFill>
        </w:rPr>
      </w:pPr>
    </w:p>
    <w:p w14:paraId="2EE262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宋体" w:hAnsi="宋体" w:eastAsia="宋体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—— 202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年12月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日在庄河市第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届人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民代表大会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楷体_GB2312" w:hAnsi="宋体" w:eastAsia="楷体_GB2312" w:cs="宋体"/>
          <w:color w:val="000000" w:themeColor="text1"/>
          <w:spacing w:val="-20"/>
          <w:highlight w:val="none"/>
          <w14:textFill>
            <w14:solidFill>
              <w14:schemeClr w14:val="tx1"/>
            </w14:solidFill>
          </w14:textFill>
        </w:rPr>
        <w:t>次会议上</w:t>
      </w:r>
    </w:p>
    <w:p w14:paraId="5CE3D3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C9E0D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14:textFill>
            <w14:solidFill>
              <w14:schemeClr w14:val="tx1"/>
            </w14:solidFill>
          </w14:textFill>
        </w:rPr>
        <w:t>庄河市财政局</w:t>
      </w:r>
    </w:p>
    <w:p w14:paraId="11771C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/>
          <w:color w:val="000000" w:themeColor="text1"/>
          <w14:textFill>
            <w14:solidFill>
              <w14:schemeClr w14:val="tx1"/>
            </w14:solidFill>
          </w14:textFill>
        </w:rPr>
      </w:pPr>
    </w:p>
    <w:p w14:paraId="67C7F9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textAlignment w:val="auto"/>
        <w:rPr>
          <w:rFonts w:ascii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各位代表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：</w:t>
      </w:r>
    </w:p>
    <w:p w14:paraId="2644EF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23" w:firstLineChars="197"/>
        <w:textAlignment w:val="auto"/>
        <w:rPr>
          <w:rFonts w:ascii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受市政府委托，现将我</w:t>
      </w:r>
      <w:r>
        <w:rPr>
          <w:rFonts w:hint="eastAsia" w:ascii="仿宋_GB2312"/>
          <w:color w:val="000000" w:themeColor="text1"/>
          <w:spacing w:val="-20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年预算执行情况</w:t>
      </w:r>
      <w:r>
        <w:rPr>
          <w:rFonts w:hint="eastAsia" w:ascii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（由于本报告时间早于财政决算日，收支数字均为预计数）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和202</w:t>
      </w:r>
      <w:r>
        <w:rPr>
          <w:rFonts w:hint="eastAsia" w:ascii="仿宋_GB2312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年预算草案提请本次会议审议，并请</w:t>
      </w:r>
      <w:r>
        <w:rPr>
          <w:rFonts w:hint="eastAsia" w:ascii="仿宋_GB2312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各位代表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提出意见。</w:t>
      </w:r>
    </w:p>
    <w:p w14:paraId="346E65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23" w:firstLineChars="197"/>
        <w:textAlignment w:val="auto"/>
        <w:rPr>
          <w:rFonts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一、202</w:t>
      </w:r>
      <w:r>
        <w:rPr>
          <w:rFonts w:hint="eastAsia" w:ascii="黑体" w:hAnsi="黑体" w:eastAsia="黑体" w:cs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  <w:t>年预算执行情况</w:t>
      </w:r>
    </w:p>
    <w:p w14:paraId="746FC5E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23" w:firstLineChars="197"/>
        <w:textAlignment w:val="auto"/>
        <w:rPr>
          <w:rFonts w:ascii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年,我市预算执行情况如下</w:t>
      </w:r>
      <w:r>
        <w:rPr>
          <w:rFonts w:hint="eastAsia" w:ascii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（详见附表）</w:t>
      </w:r>
      <w:r>
        <w:rPr>
          <w:rFonts w:hint="eastAsia" w:ascii="仿宋_GB2312"/>
          <w:color w:val="000000" w:themeColor="text1"/>
          <w14:textFill>
            <w14:solidFill>
              <w14:schemeClr w14:val="tx1"/>
            </w14:solidFill>
          </w14:textFill>
        </w:rPr>
        <w:t>：</w:t>
      </w:r>
    </w:p>
    <w:p w14:paraId="001B8E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65" w:firstLineChars="147"/>
        <w:textAlignment w:val="auto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（一）一般公共预算执行情况</w:t>
      </w:r>
    </w:p>
    <w:p w14:paraId="21B468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2" w:firstLineChars="200"/>
        <w:textAlignment w:val="auto"/>
        <w:rPr>
          <w:rFonts w:ascii="仿宋_GB231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highlight w:val="none"/>
        </w:rPr>
        <w:t>1</w:t>
      </w:r>
      <w:r>
        <w:rPr>
          <w:rFonts w:hint="eastAsia" w:ascii="仿宋_GB2312" w:hAnsi="仿宋_GB2312" w:eastAsia="仿宋_GB2312" w:cs="仿宋_GB2312"/>
          <w:b/>
          <w:bCs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highlight w:val="none"/>
        </w:rPr>
        <w:t>全市执行情况。</w:t>
      </w:r>
      <w:r>
        <w:rPr>
          <w:rFonts w:hint="eastAsia" w:ascii="仿宋_GB2312"/>
          <w:highlight w:val="none"/>
          <w:lang w:val="en-US" w:eastAsia="zh-CN"/>
        </w:rPr>
        <w:t>全市一般公共预算</w:t>
      </w:r>
      <w:r>
        <w:rPr>
          <w:rFonts w:hint="eastAsia" w:ascii="仿宋_GB2312"/>
          <w:highlight w:val="none"/>
        </w:rPr>
        <w:t>收入</w:t>
      </w:r>
      <w:r>
        <w:rPr>
          <w:rFonts w:hint="eastAsia" w:ascii="仿宋_GB2312"/>
          <w:highlight w:val="none"/>
          <w:lang w:val="en-US" w:eastAsia="zh-CN"/>
        </w:rPr>
        <w:t>660,900</w:t>
      </w:r>
      <w:r>
        <w:rPr>
          <w:rFonts w:hint="eastAsia" w:ascii="仿宋_GB2312"/>
          <w:highlight w:val="none"/>
        </w:rPr>
        <w:t>万元，完成年初预算的</w:t>
      </w:r>
      <w:r>
        <w:rPr>
          <w:rFonts w:hint="eastAsia" w:ascii="仿宋_GB2312"/>
          <w:highlight w:val="none"/>
          <w:lang w:val="en-US" w:eastAsia="zh-CN"/>
        </w:rPr>
        <w:t>100.4</w:t>
      </w:r>
      <w:r>
        <w:rPr>
          <w:rFonts w:hint="eastAsia" w:ascii="仿宋_GB2312"/>
          <w:highlight w:val="none"/>
        </w:rPr>
        <w:t>%，增长</w:t>
      </w:r>
      <w:r>
        <w:rPr>
          <w:rFonts w:hint="eastAsia" w:ascii="仿宋_GB2312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（收支增减均比上年实际）</w:t>
      </w:r>
      <w:r>
        <w:rPr>
          <w:rFonts w:hint="eastAsia" w:ascii="仿宋_GB2312"/>
          <w:highlight w:val="none"/>
          <w:lang w:val="en-US" w:eastAsia="zh-CN"/>
        </w:rPr>
        <w:t>6</w:t>
      </w:r>
      <w:r>
        <w:rPr>
          <w:rFonts w:hint="eastAsia" w:ascii="仿宋_GB2312"/>
          <w:highlight w:val="none"/>
        </w:rPr>
        <w:t>%。其中：税收收入</w:t>
      </w:r>
      <w:r>
        <w:rPr>
          <w:rFonts w:hint="eastAsia" w:ascii="仿宋_GB2312"/>
          <w:highlight w:val="none"/>
          <w:lang w:val="en-US" w:eastAsia="zh-CN"/>
        </w:rPr>
        <w:t>259,670</w:t>
      </w:r>
      <w:r>
        <w:rPr>
          <w:rFonts w:hint="eastAsia" w:ascii="仿宋_GB2312"/>
          <w:highlight w:val="none"/>
        </w:rPr>
        <w:t>万元，完成年初预算的1</w:t>
      </w:r>
      <w:r>
        <w:rPr>
          <w:rFonts w:hint="eastAsia" w:ascii="仿宋_GB2312"/>
          <w:highlight w:val="none"/>
          <w:lang w:val="en-US" w:eastAsia="zh-CN"/>
        </w:rPr>
        <w:t>00.1</w:t>
      </w:r>
      <w:r>
        <w:rPr>
          <w:rFonts w:hint="eastAsia" w:ascii="仿宋_GB2312"/>
          <w:highlight w:val="none"/>
        </w:rPr>
        <w:t>%；非税收入</w:t>
      </w:r>
      <w:r>
        <w:rPr>
          <w:rFonts w:hint="eastAsia" w:ascii="仿宋_GB2312"/>
          <w:highlight w:val="none"/>
          <w:lang w:val="en-US" w:eastAsia="zh-CN"/>
        </w:rPr>
        <w:t>401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230</w:t>
      </w:r>
      <w:r>
        <w:rPr>
          <w:rFonts w:hint="eastAsia" w:ascii="仿宋_GB2312"/>
          <w:highlight w:val="none"/>
        </w:rPr>
        <w:t>万元，完成年初预算的</w:t>
      </w:r>
      <w:r>
        <w:rPr>
          <w:rFonts w:hint="eastAsia" w:ascii="仿宋_GB2312"/>
          <w:highlight w:val="none"/>
          <w:lang w:val="en-US" w:eastAsia="zh-CN"/>
        </w:rPr>
        <w:t>100.7</w:t>
      </w:r>
      <w:r>
        <w:rPr>
          <w:rFonts w:hint="eastAsia" w:ascii="仿宋_GB2312"/>
          <w:highlight w:val="none"/>
        </w:rPr>
        <w:t>%；完成的这些收入，加上上级转移支付收入3</w:t>
      </w:r>
      <w:r>
        <w:rPr>
          <w:rFonts w:hint="eastAsia" w:ascii="仿宋_GB2312"/>
          <w:highlight w:val="none"/>
          <w:lang w:val="en-US" w:eastAsia="zh-CN"/>
        </w:rPr>
        <w:t>53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055</w:t>
      </w:r>
      <w:r>
        <w:rPr>
          <w:rFonts w:hint="eastAsia" w:ascii="仿宋_GB2312"/>
          <w:highlight w:val="none"/>
        </w:rPr>
        <w:t>万元、动用预算稳定调节基金</w:t>
      </w:r>
      <w:r>
        <w:rPr>
          <w:rFonts w:hint="eastAsia" w:ascii="仿宋_GB2312"/>
          <w:highlight w:val="none"/>
          <w:lang w:val="en-US" w:eastAsia="zh-CN"/>
        </w:rPr>
        <w:t>121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522</w:t>
      </w:r>
      <w:r>
        <w:rPr>
          <w:rFonts w:hint="eastAsia" w:ascii="仿宋_GB2312"/>
          <w:highlight w:val="none"/>
        </w:rPr>
        <w:t>万元、调入国有资本经营预算</w:t>
      </w:r>
      <w:r>
        <w:rPr>
          <w:rFonts w:hint="eastAsia" w:ascii="仿宋_GB2312"/>
          <w:highlight w:val="none"/>
          <w:lang w:val="en-US" w:eastAsia="zh-CN"/>
        </w:rPr>
        <w:t>50</w:t>
      </w:r>
      <w:r>
        <w:rPr>
          <w:rFonts w:hint="eastAsia" w:ascii="仿宋_GB2312"/>
          <w:highlight w:val="none"/>
        </w:rPr>
        <w:t>万元、调入</w:t>
      </w:r>
      <w:r>
        <w:rPr>
          <w:rFonts w:hint="eastAsia" w:ascii="仿宋_GB2312"/>
          <w:highlight w:val="none"/>
          <w:lang w:val="en-US" w:eastAsia="zh-CN"/>
        </w:rPr>
        <w:t>政府性基金预算4,779</w:t>
      </w:r>
      <w:r>
        <w:rPr>
          <w:rFonts w:hint="eastAsia" w:ascii="仿宋_GB2312"/>
          <w:highlight w:val="none"/>
        </w:rPr>
        <w:t>万元、调入其他资金</w:t>
      </w:r>
      <w:r>
        <w:rPr>
          <w:rFonts w:hint="eastAsia" w:ascii="仿宋_GB2312"/>
          <w:highlight w:val="none"/>
          <w:lang w:val="en-US" w:eastAsia="zh-CN"/>
        </w:rPr>
        <w:t>63,162</w:t>
      </w:r>
      <w:r>
        <w:rPr>
          <w:rFonts w:hint="eastAsia" w:ascii="仿宋_GB2312"/>
          <w:highlight w:val="none"/>
        </w:rPr>
        <w:t>万元、地方政府一般债务转贷收入</w:t>
      </w:r>
      <w:r>
        <w:rPr>
          <w:rFonts w:hint="eastAsia" w:ascii="仿宋_GB2312"/>
          <w:highlight w:val="none"/>
          <w:lang w:val="en-US" w:eastAsia="zh-CN"/>
        </w:rPr>
        <w:t>39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000</w:t>
      </w:r>
      <w:r>
        <w:rPr>
          <w:rFonts w:hint="eastAsia" w:ascii="仿宋_GB2312"/>
          <w:highlight w:val="none"/>
        </w:rPr>
        <w:t>万元、上年结转收入2</w:t>
      </w:r>
      <w:r>
        <w:rPr>
          <w:rFonts w:hint="eastAsia" w:ascii="仿宋_GB2312"/>
          <w:highlight w:val="none"/>
          <w:lang w:val="en-US" w:eastAsia="zh-CN"/>
        </w:rPr>
        <w:t>93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737</w:t>
      </w:r>
      <w:r>
        <w:rPr>
          <w:rFonts w:hint="eastAsia" w:ascii="仿宋_GB2312"/>
          <w:highlight w:val="none"/>
        </w:rPr>
        <w:t>万元，全市一般公共预算</w:t>
      </w:r>
      <w:r>
        <w:rPr>
          <w:rFonts w:hint="eastAsia" w:ascii="仿宋_GB2312"/>
          <w:highlight w:val="none"/>
          <w:lang w:val="en-US" w:eastAsia="zh-CN"/>
        </w:rPr>
        <w:t>总</w:t>
      </w:r>
      <w:r>
        <w:rPr>
          <w:rFonts w:hint="eastAsia" w:ascii="仿宋_GB2312"/>
          <w:highlight w:val="none"/>
        </w:rPr>
        <w:t>收入1,</w:t>
      </w:r>
      <w:r>
        <w:rPr>
          <w:rFonts w:hint="eastAsia" w:ascii="仿宋_GB2312"/>
          <w:highlight w:val="none"/>
          <w:lang w:val="en-US" w:eastAsia="zh-CN"/>
        </w:rPr>
        <w:t>536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205</w:t>
      </w:r>
      <w:r>
        <w:rPr>
          <w:rFonts w:hint="eastAsia" w:ascii="仿宋_GB2312"/>
          <w:highlight w:val="none"/>
        </w:rPr>
        <w:t>万元；</w:t>
      </w:r>
      <w:r>
        <w:rPr>
          <w:rFonts w:hint="eastAsia" w:ascii="仿宋_GB2312"/>
          <w:highlight w:val="none"/>
          <w:lang w:val="en-US" w:eastAsia="zh-CN"/>
        </w:rPr>
        <w:t>全市</w:t>
      </w:r>
      <w:r>
        <w:rPr>
          <w:rFonts w:hint="eastAsia" w:ascii="仿宋_GB2312"/>
          <w:highlight w:val="none"/>
        </w:rPr>
        <w:t>一般公共预算支出</w:t>
      </w:r>
      <w:r>
        <w:rPr>
          <w:rFonts w:hint="eastAsia" w:ascii="仿宋_GB2312"/>
          <w:highlight w:val="none"/>
          <w:lang w:val="en-US" w:eastAsia="zh-CN"/>
        </w:rPr>
        <w:t>1,075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143</w:t>
      </w:r>
      <w:r>
        <w:rPr>
          <w:rFonts w:hint="eastAsia" w:ascii="仿宋_GB2312"/>
          <w:highlight w:val="none"/>
        </w:rPr>
        <w:t>万元，完成年初预算的1</w:t>
      </w:r>
      <w:r>
        <w:rPr>
          <w:rFonts w:hint="eastAsia" w:ascii="仿宋_GB2312"/>
          <w:highlight w:val="none"/>
          <w:lang w:val="en-US" w:eastAsia="zh-CN"/>
        </w:rPr>
        <w:t>39.8</w:t>
      </w:r>
      <w:r>
        <w:rPr>
          <w:rFonts w:hint="eastAsia" w:ascii="仿宋_GB2312"/>
          <w:highlight w:val="none"/>
        </w:rPr>
        <w:t>%，增长</w:t>
      </w:r>
      <w:r>
        <w:rPr>
          <w:rFonts w:hint="eastAsia" w:ascii="仿宋_GB2312"/>
          <w:highlight w:val="none"/>
          <w:lang w:val="en-US" w:eastAsia="zh-CN"/>
        </w:rPr>
        <w:t>23.2</w:t>
      </w:r>
      <w:r>
        <w:rPr>
          <w:rFonts w:hint="eastAsia" w:ascii="仿宋_GB2312"/>
          <w:highlight w:val="none"/>
        </w:rPr>
        <w:t>%，加上上解上级支出70,000万元、安排预算稳定调节基金</w:t>
      </w:r>
      <w:r>
        <w:rPr>
          <w:rFonts w:hint="eastAsia" w:ascii="仿宋_GB2312"/>
          <w:highlight w:val="none"/>
          <w:lang w:val="en-US" w:eastAsia="zh-CN"/>
        </w:rPr>
        <w:t>34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170</w:t>
      </w:r>
      <w:r>
        <w:rPr>
          <w:rFonts w:hint="eastAsia" w:ascii="仿宋_GB2312"/>
          <w:highlight w:val="none"/>
        </w:rPr>
        <w:t>万元、地方政府一般债务还本支出</w:t>
      </w:r>
      <w:r>
        <w:rPr>
          <w:rFonts w:hint="eastAsia" w:ascii="仿宋_GB2312"/>
          <w:highlight w:val="none"/>
          <w:lang w:val="en-US" w:eastAsia="zh-CN"/>
        </w:rPr>
        <w:t>39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000</w:t>
      </w:r>
      <w:r>
        <w:rPr>
          <w:rFonts w:hint="eastAsia" w:ascii="仿宋_GB2312"/>
          <w:highlight w:val="none"/>
        </w:rPr>
        <w:t>万元、结转下年支出</w:t>
      </w:r>
      <w:r>
        <w:rPr>
          <w:rFonts w:hint="eastAsia" w:ascii="仿宋_GB2312"/>
          <w:highlight w:val="none"/>
          <w:lang w:val="en-US" w:eastAsia="zh-CN"/>
        </w:rPr>
        <w:t>317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892</w:t>
      </w:r>
      <w:r>
        <w:rPr>
          <w:rFonts w:hint="eastAsia" w:ascii="仿宋_GB2312"/>
          <w:highlight w:val="none"/>
        </w:rPr>
        <w:t>万元，全市一般公共预算</w:t>
      </w:r>
      <w:r>
        <w:rPr>
          <w:rFonts w:hint="eastAsia" w:ascii="仿宋_GB2312"/>
          <w:highlight w:val="none"/>
          <w:lang w:val="en-US" w:eastAsia="zh-CN"/>
        </w:rPr>
        <w:t>总</w:t>
      </w:r>
      <w:r>
        <w:rPr>
          <w:rFonts w:hint="eastAsia" w:ascii="仿宋_GB2312"/>
          <w:highlight w:val="none"/>
        </w:rPr>
        <w:t>支出1,536,</w:t>
      </w:r>
      <w:r>
        <w:rPr>
          <w:rFonts w:hint="eastAsia" w:ascii="仿宋_GB2312"/>
          <w:highlight w:val="none"/>
          <w:lang w:val="en-US" w:eastAsia="zh-CN"/>
        </w:rPr>
        <w:t>20</w:t>
      </w:r>
      <w:r>
        <w:rPr>
          <w:rFonts w:hint="eastAsia" w:ascii="仿宋_GB2312"/>
          <w:highlight w:val="none"/>
        </w:rPr>
        <w:t>5万元。收支相抵，预算平衡。</w:t>
      </w:r>
    </w:p>
    <w:p w14:paraId="602075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2" w:firstLineChars="200"/>
        <w:textAlignment w:val="auto"/>
        <w:rPr>
          <w:rFonts w:ascii="仿宋_GB231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highlight w:val="none"/>
        </w:rPr>
        <w:t>2</w:t>
      </w:r>
      <w:r>
        <w:rPr>
          <w:rFonts w:hint="eastAsia" w:ascii="仿宋_GB2312" w:hAnsi="仿宋_GB2312" w:cs="仿宋_GB2312"/>
          <w:b/>
          <w:bCs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highlight w:val="none"/>
        </w:rPr>
        <w:t>市本级执行情况。</w:t>
      </w:r>
      <w:r>
        <w:rPr>
          <w:rFonts w:hint="eastAsia" w:ascii="仿宋_GB2312"/>
          <w:highlight w:val="none"/>
          <w:lang w:val="en-US" w:eastAsia="zh-CN"/>
        </w:rPr>
        <w:t>市本级一般公共预算</w:t>
      </w:r>
      <w:r>
        <w:rPr>
          <w:rFonts w:hint="eastAsia" w:ascii="仿宋_GB2312"/>
          <w:highlight w:val="none"/>
        </w:rPr>
        <w:t>收入</w:t>
      </w:r>
      <w:r>
        <w:rPr>
          <w:rFonts w:hint="eastAsia" w:ascii="仿宋_GB2312"/>
          <w:highlight w:val="none"/>
          <w:lang w:val="en-US" w:eastAsia="zh-CN"/>
        </w:rPr>
        <w:t>471,491</w:t>
      </w:r>
      <w:r>
        <w:rPr>
          <w:rFonts w:hint="eastAsia" w:ascii="仿宋_GB2312"/>
          <w:highlight w:val="none"/>
        </w:rPr>
        <w:t>万元，完成年初预算的</w:t>
      </w:r>
      <w:r>
        <w:rPr>
          <w:rFonts w:hint="eastAsia" w:ascii="仿宋_GB2312"/>
          <w:highlight w:val="none"/>
          <w:lang w:val="en-US" w:eastAsia="zh-CN"/>
        </w:rPr>
        <w:t>106.1</w:t>
      </w:r>
      <w:r>
        <w:rPr>
          <w:rFonts w:hint="eastAsia" w:ascii="仿宋_GB2312"/>
          <w:highlight w:val="none"/>
        </w:rPr>
        <w:t>%，</w:t>
      </w:r>
      <w:r>
        <w:rPr>
          <w:rFonts w:hint="eastAsia" w:ascii="仿宋_GB2312"/>
          <w:highlight w:val="none"/>
          <w:lang w:val="en-US" w:eastAsia="zh-CN"/>
        </w:rPr>
        <w:t>增长23.6</w:t>
      </w:r>
      <w:r>
        <w:rPr>
          <w:rFonts w:hint="eastAsia" w:ascii="仿宋_GB2312"/>
          <w:highlight w:val="none"/>
        </w:rPr>
        <w:t>%。其中：税收收入</w:t>
      </w:r>
      <w:r>
        <w:rPr>
          <w:rFonts w:hint="eastAsia" w:ascii="仿宋_GB2312"/>
          <w:highlight w:val="none"/>
          <w:lang w:val="en-US" w:eastAsia="zh-CN"/>
        </w:rPr>
        <w:t>80,989</w:t>
      </w:r>
      <w:r>
        <w:rPr>
          <w:rFonts w:hint="eastAsia" w:ascii="仿宋_GB2312"/>
          <w:highlight w:val="none"/>
        </w:rPr>
        <w:t>万元，完成年初预算的</w:t>
      </w:r>
      <w:r>
        <w:rPr>
          <w:rFonts w:hint="eastAsia" w:ascii="仿宋_GB2312"/>
          <w:highlight w:val="none"/>
          <w:lang w:val="en-US" w:eastAsia="zh-CN"/>
        </w:rPr>
        <w:t>159.7</w:t>
      </w:r>
      <w:r>
        <w:rPr>
          <w:rFonts w:hint="eastAsia" w:ascii="仿宋_GB2312"/>
          <w:highlight w:val="none"/>
        </w:rPr>
        <w:t>%；非税收入</w:t>
      </w:r>
      <w:r>
        <w:rPr>
          <w:rFonts w:hint="eastAsia" w:ascii="仿宋_GB2312"/>
          <w:highlight w:val="none"/>
          <w:lang w:val="en-US" w:eastAsia="zh-CN"/>
        </w:rPr>
        <w:t>390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502</w:t>
      </w:r>
      <w:r>
        <w:rPr>
          <w:rFonts w:hint="eastAsia" w:ascii="仿宋_GB2312"/>
          <w:highlight w:val="none"/>
        </w:rPr>
        <w:t>万元，完成年初预算的9</w:t>
      </w:r>
      <w:r>
        <w:rPr>
          <w:rFonts w:hint="eastAsia" w:ascii="仿宋_GB2312"/>
          <w:highlight w:val="none"/>
          <w:lang w:val="en-US" w:eastAsia="zh-CN"/>
        </w:rPr>
        <w:t>9.2</w:t>
      </w:r>
      <w:r>
        <w:rPr>
          <w:rFonts w:hint="eastAsia" w:ascii="仿宋_GB2312"/>
          <w:highlight w:val="none"/>
        </w:rPr>
        <w:t>%。完成的这些收入，加上上级转移支付收入</w:t>
      </w:r>
      <w:r>
        <w:rPr>
          <w:rFonts w:hint="eastAsia" w:ascii="仿宋_GB2312"/>
          <w:highlight w:val="none"/>
          <w:lang w:val="en-US" w:eastAsia="zh-CN"/>
        </w:rPr>
        <w:t>353,055</w:t>
      </w:r>
      <w:r>
        <w:rPr>
          <w:rFonts w:hint="eastAsia" w:ascii="仿宋_GB2312"/>
          <w:highlight w:val="none"/>
        </w:rPr>
        <w:t>万元、动用预算稳定调节基金</w:t>
      </w:r>
      <w:r>
        <w:rPr>
          <w:rFonts w:hint="eastAsia" w:ascii="仿宋_GB2312"/>
          <w:highlight w:val="none"/>
          <w:lang w:val="en-US" w:eastAsia="zh-CN"/>
        </w:rPr>
        <w:t>100,000</w:t>
      </w:r>
      <w:r>
        <w:rPr>
          <w:rFonts w:hint="eastAsia" w:ascii="仿宋_GB2312"/>
          <w:highlight w:val="none"/>
        </w:rPr>
        <w:t>万元、下级上解收入</w:t>
      </w:r>
      <w:r>
        <w:rPr>
          <w:rFonts w:hint="eastAsia" w:ascii="仿宋_GB2312"/>
          <w:highlight w:val="none"/>
          <w:lang w:val="en-US" w:eastAsia="zh-CN"/>
        </w:rPr>
        <w:t>24,975</w:t>
      </w:r>
      <w:r>
        <w:rPr>
          <w:rFonts w:hint="eastAsia" w:ascii="仿宋_GB2312"/>
          <w:highlight w:val="none"/>
        </w:rPr>
        <w:t>万元、调入国有资本经营预算</w:t>
      </w:r>
      <w:r>
        <w:rPr>
          <w:rFonts w:hint="eastAsia" w:ascii="仿宋_GB2312"/>
          <w:highlight w:val="none"/>
          <w:lang w:val="en-US" w:eastAsia="zh-CN"/>
        </w:rPr>
        <w:t>50</w:t>
      </w:r>
      <w:r>
        <w:rPr>
          <w:rFonts w:hint="eastAsia" w:ascii="仿宋_GB2312"/>
          <w:highlight w:val="none"/>
        </w:rPr>
        <w:t>万元、调入政府性基金预算4,779万元、调入其他资金60,809万元、地方政府一般债务转贷收入</w:t>
      </w:r>
      <w:r>
        <w:rPr>
          <w:rFonts w:hint="eastAsia" w:ascii="仿宋_GB2312"/>
          <w:highlight w:val="none"/>
          <w:lang w:val="en-US" w:eastAsia="zh-CN"/>
        </w:rPr>
        <w:t>39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000</w:t>
      </w:r>
      <w:r>
        <w:rPr>
          <w:rFonts w:hint="eastAsia" w:ascii="仿宋_GB2312"/>
          <w:highlight w:val="none"/>
        </w:rPr>
        <w:t>万元、上年结转收入</w:t>
      </w:r>
      <w:r>
        <w:rPr>
          <w:rFonts w:hint="eastAsia" w:ascii="仿宋_GB2312"/>
          <w:highlight w:val="none"/>
          <w:lang w:val="en-US" w:eastAsia="zh-CN"/>
        </w:rPr>
        <w:t>290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304</w:t>
      </w:r>
      <w:r>
        <w:rPr>
          <w:rFonts w:hint="eastAsia" w:ascii="仿宋_GB2312"/>
          <w:highlight w:val="none"/>
        </w:rPr>
        <w:t>万元，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市本级一般公共预算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收入1,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344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463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市本级</w:t>
      </w:r>
      <w:r>
        <w:rPr>
          <w:rFonts w:hint="eastAsia" w:ascii="仿宋_GB2312"/>
          <w:highlight w:val="none"/>
          <w:lang w:val="en-US" w:eastAsia="zh-CN"/>
        </w:rPr>
        <w:t>一般公共预算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支出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876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461</w:t>
      </w:r>
      <w:r>
        <w:rPr>
          <w:rFonts w:hint="eastAsia" w:ascii="仿宋_GB2312"/>
          <w:highlight w:val="none"/>
        </w:rPr>
        <w:t>万元，完成年初预算的</w:t>
      </w:r>
      <w:r>
        <w:rPr>
          <w:rFonts w:hint="eastAsia" w:ascii="仿宋_GB2312"/>
          <w:highlight w:val="none"/>
          <w:lang w:val="en-US" w:eastAsia="zh-CN"/>
        </w:rPr>
        <w:t>156.8</w:t>
      </w:r>
      <w:r>
        <w:rPr>
          <w:rFonts w:hint="eastAsia" w:ascii="仿宋_GB2312"/>
          <w:highlight w:val="none"/>
        </w:rPr>
        <w:t>%，增长</w:t>
      </w:r>
      <w:r>
        <w:rPr>
          <w:rFonts w:hint="eastAsia" w:ascii="仿宋_GB2312"/>
          <w:highlight w:val="none"/>
          <w:lang w:val="en-US" w:eastAsia="zh-CN"/>
        </w:rPr>
        <w:t>35.4</w:t>
      </w:r>
      <w:r>
        <w:rPr>
          <w:rFonts w:hint="eastAsia" w:ascii="仿宋_GB2312"/>
          <w:highlight w:val="none"/>
        </w:rPr>
        <w:t>%。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加上上解上级支出70,000万元、补助下级支出26,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283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万元、安排预算稳定调节基金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233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万元、</w:t>
      </w:r>
      <w:r>
        <w:rPr>
          <w:rFonts w:hint="eastAsia" w:ascii="仿宋_GB2312"/>
          <w:highlight w:val="none"/>
        </w:rPr>
        <w:t>地方政府一般债务还本支出</w:t>
      </w:r>
      <w:r>
        <w:rPr>
          <w:rFonts w:hint="eastAsia" w:ascii="仿宋_GB2312"/>
          <w:highlight w:val="none"/>
          <w:lang w:val="en-US" w:eastAsia="zh-CN"/>
        </w:rPr>
        <w:t>39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000</w:t>
      </w:r>
      <w:r>
        <w:rPr>
          <w:rFonts w:hint="eastAsia" w:ascii="仿宋_GB2312"/>
          <w:highlight w:val="none"/>
        </w:rPr>
        <w:t>万元、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结转下年支出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305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486</w:t>
      </w:r>
      <w:r>
        <w:rPr>
          <w:rFonts w:hint="eastAsia" w:ascii="仿宋_GB2312"/>
          <w:highlight w:val="none"/>
        </w:rPr>
        <w:t>万元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，市本级</w:t>
      </w:r>
      <w:r>
        <w:rPr>
          <w:rFonts w:hint="eastAsia" w:ascii="仿宋_GB2312"/>
          <w:highlight w:val="none"/>
        </w:rPr>
        <w:t>一般公共预算</w:t>
      </w:r>
      <w:r>
        <w:rPr>
          <w:rFonts w:hint="eastAsia" w:ascii="仿宋_GB2312"/>
          <w:highlight w:val="none"/>
          <w:lang w:val="en-US" w:eastAsia="zh-CN"/>
        </w:rPr>
        <w:t>总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支出1,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344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463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/>
          <w:highlight w:val="none"/>
        </w:rPr>
        <w:t>收支相抵，预算平衡。</w:t>
      </w:r>
    </w:p>
    <w:p w14:paraId="1F91B61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32" w:firstLineChars="200"/>
        <w:textAlignment w:val="auto"/>
        <w:rPr>
          <w:rFonts w:ascii="仿宋_GB2312"/>
        </w:rPr>
      </w:pPr>
      <w:r>
        <w:rPr>
          <w:rFonts w:hint="eastAsia" w:ascii="仿宋_GB2312" w:hAnsi="黑体" w:eastAsia="仿宋_GB2312" w:cs="Calibri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b/>
          <w:bCs/>
        </w:rPr>
        <w:t>大连北黄海经济开发区（下称北黄海经开区）和各街道执行情况。</w:t>
      </w:r>
      <w:r>
        <w:rPr>
          <w:rFonts w:hint="eastAsia" w:ascii="仿宋_GB2312" w:hAnsi="楷体" w:cs="楷体"/>
        </w:rPr>
        <w:t>（1）</w:t>
      </w:r>
      <w:r>
        <w:rPr>
          <w:rFonts w:hint="eastAsia" w:ascii="仿宋_GB2312" w:hAnsi="黑体"/>
        </w:rPr>
        <w:t>北黄海经开区一般公共预算</w:t>
      </w:r>
      <w:r>
        <w:rPr>
          <w:rFonts w:hint="eastAsia" w:ascii="仿宋_GB2312"/>
        </w:rPr>
        <w:t>收入</w:t>
      </w:r>
      <w:r>
        <w:rPr>
          <w:rFonts w:hint="eastAsia" w:ascii="仿宋_GB2312"/>
          <w:lang w:val="en-US" w:eastAsia="zh-CN"/>
        </w:rPr>
        <w:t>38</w:t>
      </w:r>
      <w:r>
        <w:rPr>
          <w:rFonts w:hint="eastAsia" w:ascii="仿宋_GB2312"/>
        </w:rPr>
        <w:t>,000万元</w:t>
      </w:r>
      <w:r>
        <w:rPr>
          <w:rFonts w:hint="eastAsia" w:ascii="仿宋_GB2312"/>
          <w:lang w:eastAsia="zh-CN"/>
        </w:rPr>
        <w:t>，</w:t>
      </w:r>
      <w:r>
        <w:rPr>
          <w:rFonts w:hint="eastAsia" w:ascii="仿宋_GB2312"/>
          <w:lang w:val="en-US" w:eastAsia="zh-CN"/>
        </w:rPr>
        <w:t>加上</w:t>
      </w:r>
      <w:r>
        <w:rPr>
          <w:rFonts w:hint="eastAsia" w:ascii="仿宋_GB2312"/>
          <w:highlight w:val="none"/>
        </w:rPr>
        <w:t>动用预算稳定调节基金</w:t>
      </w:r>
      <w:r>
        <w:rPr>
          <w:rFonts w:hint="eastAsia" w:ascii="仿宋_GB2312"/>
        </w:rPr>
        <w:t>19</w:t>
      </w:r>
      <w:r>
        <w:rPr>
          <w:rFonts w:hint="eastAsia" w:ascii="仿宋_GB2312"/>
          <w:lang w:val="en-US" w:eastAsia="zh-CN"/>
        </w:rPr>
        <w:t>,711万元，北黄海经开区一般公共预算总收入57,711万元；北黄海经开区一般公共预算</w:t>
      </w:r>
      <w:r>
        <w:rPr>
          <w:rFonts w:hint="eastAsia" w:ascii="仿宋_GB2312"/>
        </w:rPr>
        <w:t>支出</w:t>
      </w:r>
      <w:r>
        <w:rPr>
          <w:rFonts w:hint="eastAsia" w:ascii="仿宋_GB2312"/>
          <w:lang w:val="en-US" w:eastAsia="zh-CN"/>
        </w:rPr>
        <w:t>45</w:t>
      </w:r>
      <w:r>
        <w:rPr>
          <w:rFonts w:hint="eastAsia" w:ascii="仿宋_GB2312"/>
        </w:rPr>
        <w:t>,</w:t>
      </w:r>
      <w:r>
        <w:rPr>
          <w:rFonts w:hint="eastAsia" w:ascii="仿宋_GB2312"/>
          <w:lang w:val="en-US" w:eastAsia="zh-CN"/>
        </w:rPr>
        <w:t>248</w:t>
      </w:r>
      <w:r>
        <w:rPr>
          <w:rFonts w:hint="eastAsia" w:ascii="仿宋_GB2312"/>
        </w:rPr>
        <w:t>万元</w:t>
      </w:r>
      <w:r>
        <w:rPr>
          <w:rFonts w:hint="eastAsia" w:ascii="仿宋_GB2312"/>
          <w:lang w:eastAsia="zh-CN"/>
        </w:rPr>
        <w:t>，加上上解上级支出</w:t>
      </w:r>
      <w:r>
        <w:rPr>
          <w:rFonts w:hint="eastAsia" w:ascii="仿宋_GB2312"/>
          <w:lang w:val="en-US" w:eastAsia="zh-CN"/>
        </w:rPr>
        <w:t>12</w:t>
      </w:r>
      <w:r>
        <w:rPr>
          <w:rFonts w:hint="eastAsia" w:ascii="仿宋_GB2312"/>
          <w:lang w:eastAsia="zh-CN"/>
        </w:rPr>
        <w:t>,</w:t>
      </w:r>
      <w:r>
        <w:rPr>
          <w:rFonts w:hint="eastAsia" w:ascii="仿宋_GB2312"/>
          <w:lang w:val="en-US" w:eastAsia="zh-CN"/>
        </w:rPr>
        <w:t>463</w:t>
      </w:r>
      <w:r>
        <w:rPr>
          <w:rFonts w:hint="eastAsia" w:ascii="仿宋_GB2312"/>
          <w:lang w:eastAsia="zh-CN"/>
        </w:rPr>
        <w:t>万元，</w:t>
      </w:r>
      <w:r>
        <w:rPr>
          <w:rFonts w:hint="eastAsia" w:ascii="仿宋_GB2312"/>
          <w:lang w:val="en-US" w:eastAsia="zh-CN"/>
        </w:rPr>
        <w:t>北黄海经开区</w:t>
      </w:r>
      <w:r>
        <w:rPr>
          <w:rFonts w:hint="eastAsia" w:ascii="仿宋_GB2312"/>
          <w:lang w:eastAsia="zh-CN"/>
        </w:rPr>
        <w:t>一般公共预算总支出57,711万元。收支相抵，预算平衡。</w:t>
      </w:r>
      <w:r>
        <w:rPr>
          <w:rFonts w:hint="eastAsia" w:ascii="仿宋_GB2312"/>
        </w:rPr>
        <w:t>（2）</w:t>
      </w:r>
      <w:r>
        <w:rPr>
          <w:rFonts w:hint="eastAsia" w:ascii="仿宋_GB2312" w:hAnsi="黑体"/>
        </w:rPr>
        <w:t>城关街道一般公共预算收入</w:t>
      </w:r>
      <w:r>
        <w:rPr>
          <w:rFonts w:hint="eastAsia" w:ascii="仿宋_GB2312"/>
          <w:lang w:val="en-US" w:eastAsia="zh-CN"/>
        </w:rPr>
        <w:t>5</w:t>
      </w:r>
      <w:r>
        <w:rPr>
          <w:rFonts w:hint="eastAsia" w:ascii="仿宋_GB2312"/>
        </w:rPr>
        <w:t>,</w:t>
      </w:r>
      <w:r>
        <w:rPr>
          <w:rFonts w:hint="eastAsia" w:ascii="仿宋_GB2312"/>
          <w:lang w:val="en-US" w:eastAsia="zh-CN"/>
        </w:rPr>
        <w:t>94</w:t>
      </w:r>
      <w:r>
        <w:rPr>
          <w:rFonts w:hint="eastAsia" w:ascii="仿宋_GB2312"/>
        </w:rPr>
        <w:t>0</w:t>
      </w:r>
      <w:r>
        <w:rPr>
          <w:rFonts w:hint="eastAsia" w:ascii="仿宋_GB2312" w:hAnsi="黑体"/>
        </w:rPr>
        <w:t>万元，</w:t>
      </w:r>
      <w:r>
        <w:rPr>
          <w:rFonts w:hint="eastAsia" w:ascii="仿宋_GB2312" w:hAnsi="黑体"/>
          <w:lang w:eastAsia="zh-CN"/>
        </w:rPr>
        <w:t>加上</w:t>
      </w:r>
      <w:r>
        <w:rPr>
          <w:rFonts w:hint="eastAsia" w:ascii="仿宋_GB2312" w:hAnsi="黑体"/>
        </w:rPr>
        <w:t>上级转移支付收入</w:t>
      </w:r>
      <w:r>
        <w:rPr>
          <w:rFonts w:hint="eastAsia" w:ascii="仿宋_GB2312" w:hAnsi="黑体"/>
          <w:lang w:val="en-US" w:eastAsia="zh-CN"/>
        </w:rPr>
        <w:t>881</w:t>
      </w:r>
      <w:r>
        <w:rPr>
          <w:rFonts w:hint="eastAsia" w:ascii="仿宋_GB2312" w:hAnsi="黑体"/>
        </w:rPr>
        <w:t>万元、动用预算稳定调节基金</w:t>
      </w:r>
      <w:r>
        <w:rPr>
          <w:rFonts w:hint="eastAsia" w:ascii="仿宋_GB2312" w:hAnsi="黑体"/>
          <w:lang w:val="en-US" w:eastAsia="zh-CN"/>
        </w:rPr>
        <w:t>293</w:t>
      </w:r>
      <w:r>
        <w:rPr>
          <w:rFonts w:hint="eastAsia" w:ascii="仿宋_GB2312" w:hAnsi="黑体"/>
        </w:rPr>
        <w:t>万元、调入其他资金</w:t>
      </w:r>
      <w:r>
        <w:rPr>
          <w:rFonts w:hint="eastAsia" w:ascii="仿宋_GB2312" w:hAnsi="黑体"/>
          <w:lang w:val="en-US" w:eastAsia="zh-CN"/>
        </w:rPr>
        <w:t>2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182</w:t>
      </w:r>
      <w:r>
        <w:rPr>
          <w:rFonts w:hint="eastAsia" w:ascii="仿宋_GB2312" w:hAnsi="黑体"/>
        </w:rPr>
        <w:t>万元，</w:t>
      </w:r>
      <w:r>
        <w:rPr>
          <w:rFonts w:hint="eastAsia" w:ascii="仿宋_GB2312" w:hAnsi="黑体"/>
          <w:lang w:val="en-US" w:eastAsia="zh-CN"/>
        </w:rPr>
        <w:t>城关街道</w:t>
      </w:r>
      <w:r>
        <w:rPr>
          <w:rFonts w:hint="eastAsia" w:ascii="仿宋_GB2312" w:hAnsi="黑体"/>
        </w:rPr>
        <w:t>一般公共预算总收入</w:t>
      </w:r>
      <w:r>
        <w:rPr>
          <w:rFonts w:hint="eastAsia" w:ascii="仿宋_GB2312" w:hAnsi="黑体"/>
          <w:lang w:val="en-US" w:eastAsia="zh-CN"/>
        </w:rPr>
        <w:t>9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296</w:t>
      </w:r>
      <w:r>
        <w:rPr>
          <w:rFonts w:hint="eastAsia" w:ascii="仿宋_GB2312" w:hAnsi="黑体"/>
        </w:rPr>
        <w:t>万元；</w:t>
      </w:r>
      <w:r>
        <w:rPr>
          <w:rFonts w:hint="eastAsia" w:ascii="仿宋_GB2312" w:hAnsi="黑体"/>
          <w:lang w:val="en-US" w:eastAsia="zh-CN"/>
        </w:rPr>
        <w:t>城关街道</w:t>
      </w:r>
      <w:r>
        <w:rPr>
          <w:rFonts w:hint="eastAsia" w:ascii="仿宋_GB2312" w:hAnsi="黑体"/>
        </w:rPr>
        <w:t>一般公共预算支出</w:t>
      </w:r>
      <w:r>
        <w:rPr>
          <w:rFonts w:hint="eastAsia" w:ascii="仿宋_GB2312"/>
        </w:rPr>
        <w:t>5,</w:t>
      </w:r>
      <w:r>
        <w:rPr>
          <w:rFonts w:hint="eastAsia" w:ascii="仿宋_GB2312"/>
          <w:lang w:val="en-US" w:eastAsia="zh-CN"/>
        </w:rPr>
        <w:t>877</w:t>
      </w:r>
      <w:r>
        <w:rPr>
          <w:rFonts w:hint="eastAsia" w:ascii="仿宋_GB2312" w:hAnsi="黑体"/>
        </w:rPr>
        <w:t>万元，加上上解上级支出</w:t>
      </w:r>
      <w:r>
        <w:rPr>
          <w:rFonts w:hint="eastAsia" w:ascii="仿宋_GB2312" w:hAnsi="黑体"/>
          <w:lang w:val="en-US" w:eastAsia="zh-CN"/>
        </w:rPr>
        <w:t>3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419</w:t>
      </w:r>
      <w:r>
        <w:rPr>
          <w:rFonts w:hint="eastAsia" w:ascii="仿宋_GB2312" w:hAnsi="黑体"/>
        </w:rPr>
        <w:t>万元，</w:t>
      </w:r>
      <w:r>
        <w:rPr>
          <w:rFonts w:hint="eastAsia" w:ascii="仿宋_GB2312" w:hAnsi="黑体"/>
          <w:lang w:val="en-US" w:eastAsia="zh-CN"/>
        </w:rPr>
        <w:t>城关街道</w:t>
      </w:r>
      <w:r>
        <w:rPr>
          <w:rFonts w:hint="eastAsia" w:ascii="仿宋_GB2312" w:hAnsi="黑体"/>
        </w:rPr>
        <w:t>一般公共预算总支出9,296万元。收支相抵，预算平衡。</w:t>
      </w:r>
      <w:r>
        <w:rPr>
          <w:rFonts w:hint="eastAsia" w:ascii="仿宋_GB2312"/>
        </w:rPr>
        <w:t>（3）</w:t>
      </w:r>
      <w:r>
        <w:rPr>
          <w:rFonts w:hint="eastAsia" w:ascii="仿宋_GB2312" w:hAnsi="黑体"/>
        </w:rPr>
        <w:t>兴达街道一般公共预算收入</w:t>
      </w:r>
      <w:r>
        <w:rPr>
          <w:rFonts w:hint="eastAsia" w:ascii="仿宋_GB2312"/>
          <w:lang w:val="en-US" w:eastAsia="zh-CN"/>
        </w:rPr>
        <w:t>3</w:t>
      </w:r>
      <w:r>
        <w:rPr>
          <w:rFonts w:hint="eastAsia" w:ascii="仿宋_GB2312"/>
        </w:rPr>
        <w:t>,</w:t>
      </w:r>
      <w:r>
        <w:rPr>
          <w:rFonts w:hint="eastAsia" w:ascii="仿宋_GB2312"/>
          <w:lang w:val="en-US" w:eastAsia="zh-CN"/>
        </w:rPr>
        <w:t>021</w:t>
      </w:r>
      <w:r>
        <w:rPr>
          <w:rFonts w:hint="eastAsia" w:ascii="仿宋_GB2312" w:hAnsi="黑体"/>
        </w:rPr>
        <w:t>万元，</w:t>
      </w:r>
      <w:r>
        <w:rPr>
          <w:rFonts w:hint="eastAsia" w:ascii="仿宋_GB2312" w:hAnsi="黑体"/>
          <w:lang w:eastAsia="zh-CN"/>
        </w:rPr>
        <w:t>加上</w:t>
      </w:r>
      <w:r>
        <w:rPr>
          <w:rFonts w:hint="eastAsia" w:ascii="仿宋_GB2312" w:hAnsi="黑体"/>
        </w:rPr>
        <w:t>上级转移支付收入8</w:t>
      </w:r>
      <w:r>
        <w:rPr>
          <w:rFonts w:hint="eastAsia" w:ascii="仿宋_GB2312" w:hAnsi="黑体"/>
          <w:lang w:val="en-US" w:eastAsia="zh-CN"/>
        </w:rPr>
        <w:t>68</w:t>
      </w:r>
      <w:r>
        <w:rPr>
          <w:rFonts w:hint="eastAsia" w:ascii="仿宋_GB2312" w:hAnsi="黑体"/>
        </w:rPr>
        <w:t>万元</w:t>
      </w:r>
      <w:r>
        <w:rPr>
          <w:rFonts w:hint="eastAsia" w:ascii="仿宋_GB2312" w:hAnsi="黑体"/>
          <w:lang w:eastAsia="zh-CN"/>
        </w:rPr>
        <w:t>，</w:t>
      </w:r>
      <w:r>
        <w:rPr>
          <w:rFonts w:hint="eastAsia" w:ascii="仿宋_GB2312" w:hAnsi="黑体"/>
          <w:lang w:val="en-US" w:eastAsia="zh-CN"/>
        </w:rPr>
        <w:t>兴达</w:t>
      </w:r>
      <w:r>
        <w:rPr>
          <w:rFonts w:hint="eastAsia" w:ascii="仿宋_GB2312" w:hAnsi="黑体"/>
        </w:rPr>
        <w:t>街道一般公共预算总收入</w:t>
      </w:r>
      <w:r>
        <w:rPr>
          <w:rFonts w:hint="eastAsia" w:ascii="仿宋_GB2312" w:hAnsi="黑体"/>
          <w:lang w:val="en-US" w:eastAsia="zh-CN"/>
        </w:rPr>
        <w:t>3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889</w:t>
      </w:r>
      <w:r>
        <w:rPr>
          <w:rFonts w:hint="eastAsia" w:ascii="仿宋_GB2312" w:hAnsi="黑体"/>
        </w:rPr>
        <w:t>万元；</w:t>
      </w:r>
      <w:r>
        <w:rPr>
          <w:rFonts w:hint="eastAsia" w:ascii="仿宋_GB2312" w:hAnsi="黑体"/>
          <w:lang w:val="en-US" w:eastAsia="zh-CN"/>
        </w:rPr>
        <w:t>兴达</w:t>
      </w:r>
      <w:r>
        <w:rPr>
          <w:rFonts w:hint="eastAsia" w:ascii="仿宋_GB2312" w:hAnsi="黑体"/>
        </w:rPr>
        <w:t>街道一般公共预算支出</w:t>
      </w:r>
      <w:r>
        <w:rPr>
          <w:rFonts w:hint="eastAsia" w:ascii="仿宋_GB2312"/>
          <w:lang w:val="en-US" w:eastAsia="zh-CN"/>
        </w:rPr>
        <w:t>3</w:t>
      </w:r>
      <w:r>
        <w:rPr>
          <w:rFonts w:hint="eastAsia" w:ascii="仿宋_GB2312"/>
        </w:rPr>
        <w:t>,</w:t>
      </w:r>
      <w:r>
        <w:rPr>
          <w:rFonts w:hint="eastAsia" w:ascii="仿宋_GB2312"/>
          <w:lang w:val="en-US" w:eastAsia="zh-CN"/>
        </w:rPr>
        <w:t>42</w:t>
      </w:r>
      <w:r>
        <w:rPr>
          <w:rFonts w:hint="eastAsia" w:ascii="仿宋_GB2312"/>
        </w:rPr>
        <w:t>4</w:t>
      </w:r>
      <w:r>
        <w:rPr>
          <w:rFonts w:hint="eastAsia" w:ascii="仿宋_GB2312" w:hAnsi="黑体"/>
        </w:rPr>
        <w:t>万元，加上上解上级支出</w:t>
      </w:r>
      <w:r>
        <w:rPr>
          <w:rFonts w:hint="eastAsia" w:ascii="仿宋_GB2312" w:hAnsi="黑体"/>
          <w:lang w:val="en-US" w:eastAsia="zh-CN"/>
        </w:rPr>
        <w:t>465</w:t>
      </w:r>
      <w:r>
        <w:rPr>
          <w:rFonts w:hint="eastAsia" w:ascii="仿宋_GB2312" w:hAnsi="黑体"/>
        </w:rPr>
        <w:t>万元，</w:t>
      </w:r>
      <w:r>
        <w:rPr>
          <w:rFonts w:hint="eastAsia" w:ascii="仿宋_GB2312" w:hAnsi="黑体"/>
          <w:lang w:val="en-US" w:eastAsia="zh-CN"/>
        </w:rPr>
        <w:t>兴达</w:t>
      </w:r>
      <w:r>
        <w:rPr>
          <w:rFonts w:hint="eastAsia" w:ascii="仿宋_GB2312" w:hAnsi="黑体"/>
        </w:rPr>
        <w:t>街道一般公共预算总支出3,889万元。收支相抵，预算平衡。</w:t>
      </w:r>
      <w:r>
        <w:rPr>
          <w:rFonts w:hint="eastAsia" w:ascii="仿宋_GB2312"/>
        </w:rPr>
        <w:t>（4）</w:t>
      </w:r>
      <w:r>
        <w:rPr>
          <w:rFonts w:hint="eastAsia" w:ascii="仿宋_GB2312" w:hAnsi="黑体"/>
        </w:rPr>
        <w:t>新华街道一般公共预算收入</w:t>
      </w:r>
      <w:r>
        <w:rPr>
          <w:rFonts w:hint="eastAsia" w:ascii="仿宋_GB2312"/>
          <w:lang w:val="en-US" w:eastAsia="zh-CN"/>
        </w:rPr>
        <w:t>3</w:t>
      </w:r>
      <w:r>
        <w:rPr>
          <w:rFonts w:hint="eastAsia" w:ascii="仿宋_GB2312"/>
        </w:rPr>
        <w:t>,</w:t>
      </w:r>
      <w:r>
        <w:rPr>
          <w:rFonts w:hint="eastAsia" w:ascii="仿宋_GB2312"/>
          <w:lang w:val="en-US" w:eastAsia="zh-CN"/>
        </w:rPr>
        <w:t>347</w:t>
      </w:r>
      <w:r>
        <w:rPr>
          <w:rFonts w:hint="eastAsia" w:ascii="仿宋_GB2312" w:hAnsi="黑体"/>
        </w:rPr>
        <w:t>万元，</w:t>
      </w:r>
      <w:r>
        <w:rPr>
          <w:rFonts w:hint="eastAsia" w:ascii="仿宋_GB2312" w:hAnsi="黑体"/>
          <w:lang w:eastAsia="zh-CN"/>
        </w:rPr>
        <w:t>加上</w:t>
      </w:r>
      <w:r>
        <w:rPr>
          <w:rFonts w:hint="eastAsia" w:ascii="仿宋_GB2312" w:hAnsi="黑体"/>
        </w:rPr>
        <w:t>上级转移支付收入</w:t>
      </w:r>
      <w:r>
        <w:rPr>
          <w:rFonts w:hint="eastAsia" w:ascii="仿宋_GB2312" w:hAnsi="黑体"/>
          <w:lang w:val="en-US" w:eastAsia="zh-CN"/>
        </w:rPr>
        <w:t>1,408</w:t>
      </w:r>
      <w:r>
        <w:rPr>
          <w:rFonts w:hint="eastAsia" w:ascii="仿宋_GB2312" w:hAnsi="黑体"/>
        </w:rPr>
        <w:t>万元，</w:t>
      </w:r>
      <w:r>
        <w:rPr>
          <w:rFonts w:hint="eastAsia" w:ascii="仿宋_GB2312" w:hAnsi="黑体"/>
          <w:lang w:val="en-US" w:eastAsia="zh-CN"/>
        </w:rPr>
        <w:t>新华</w:t>
      </w:r>
      <w:r>
        <w:rPr>
          <w:rFonts w:hint="eastAsia" w:ascii="仿宋_GB2312" w:hAnsi="黑体"/>
        </w:rPr>
        <w:t>街道一般公共预算总收入</w:t>
      </w:r>
      <w:r>
        <w:rPr>
          <w:rFonts w:hint="eastAsia" w:ascii="仿宋_GB2312" w:hAnsi="黑体"/>
          <w:lang w:val="en-US" w:eastAsia="zh-CN"/>
        </w:rPr>
        <w:t>4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755</w:t>
      </w:r>
      <w:r>
        <w:rPr>
          <w:rFonts w:hint="eastAsia" w:ascii="仿宋_GB2312" w:hAnsi="黑体"/>
        </w:rPr>
        <w:t>万元；</w:t>
      </w:r>
      <w:r>
        <w:rPr>
          <w:rFonts w:hint="eastAsia" w:ascii="仿宋_GB2312" w:hAnsi="黑体"/>
          <w:lang w:val="en-US" w:eastAsia="zh-CN"/>
        </w:rPr>
        <w:t>新华</w:t>
      </w:r>
      <w:r>
        <w:rPr>
          <w:rFonts w:hint="eastAsia" w:ascii="仿宋_GB2312" w:hAnsi="黑体"/>
        </w:rPr>
        <w:t>街道一般公共预算支出</w:t>
      </w:r>
      <w:r>
        <w:rPr>
          <w:rFonts w:hint="eastAsia" w:ascii="仿宋_GB2312"/>
          <w:lang w:val="en-US" w:eastAsia="zh-CN"/>
        </w:rPr>
        <w:t>3</w:t>
      </w:r>
      <w:r>
        <w:rPr>
          <w:rFonts w:hint="eastAsia" w:ascii="仿宋_GB2312"/>
        </w:rPr>
        <w:t>,</w:t>
      </w:r>
      <w:r>
        <w:rPr>
          <w:rFonts w:hint="eastAsia" w:ascii="仿宋_GB2312"/>
          <w:lang w:val="en-US" w:eastAsia="zh-CN"/>
        </w:rPr>
        <w:t>280</w:t>
      </w:r>
      <w:r>
        <w:rPr>
          <w:rFonts w:hint="eastAsia" w:ascii="仿宋_GB2312" w:hAnsi="黑体"/>
        </w:rPr>
        <w:t>万元，加上上解上级支出</w:t>
      </w:r>
      <w:r>
        <w:rPr>
          <w:rFonts w:hint="eastAsia" w:ascii="仿宋_GB2312" w:hAnsi="黑体"/>
          <w:lang w:val="en-US" w:eastAsia="zh-CN"/>
        </w:rPr>
        <w:t>1,</w:t>
      </w:r>
      <w:r>
        <w:rPr>
          <w:rFonts w:hint="eastAsia" w:ascii="仿宋_GB2312" w:hAnsi="黑体"/>
        </w:rPr>
        <w:t>4</w:t>
      </w:r>
      <w:r>
        <w:rPr>
          <w:rFonts w:hint="eastAsia" w:ascii="仿宋_GB2312" w:hAnsi="黑体"/>
          <w:lang w:val="en-US" w:eastAsia="zh-CN"/>
        </w:rPr>
        <w:t>7</w:t>
      </w:r>
      <w:r>
        <w:rPr>
          <w:rFonts w:hint="eastAsia" w:ascii="仿宋_GB2312" w:hAnsi="黑体"/>
        </w:rPr>
        <w:t>5万元，</w:t>
      </w:r>
      <w:r>
        <w:rPr>
          <w:rFonts w:hint="eastAsia" w:ascii="仿宋_GB2312" w:hAnsi="黑体"/>
          <w:lang w:val="en-US" w:eastAsia="zh-CN"/>
        </w:rPr>
        <w:t>新华</w:t>
      </w:r>
      <w:r>
        <w:rPr>
          <w:rFonts w:hint="eastAsia" w:ascii="仿宋_GB2312" w:hAnsi="黑体"/>
        </w:rPr>
        <w:t>街道一般公共预算总支出4,755万元。收支相抵，预算平衡。</w:t>
      </w:r>
      <w:r>
        <w:rPr>
          <w:rFonts w:hint="eastAsia" w:ascii="仿宋_GB2312"/>
        </w:rPr>
        <w:t>（5）</w:t>
      </w:r>
      <w:r>
        <w:rPr>
          <w:rFonts w:hint="eastAsia" w:ascii="仿宋_GB2312" w:hAnsi="黑体"/>
        </w:rPr>
        <w:t>昌盛街道一般公共预算收入</w:t>
      </w:r>
      <w:r>
        <w:rPr>
          <w:rFonts w:hint="eastAsia" w:ascii="仿宋_GB2312"/>
          <w:lang w:val="en-US" w:eastAsia="zh-CN"/>
        </w:rPr>
        <w:t>3</w:t>
      </w:r>
      <w:r>
        <w:rPr>
          <w:rFonts w:hint="eastAsia" w:ascii="仿宋_GB2312"/>
        </w:rPr>
        <w:t>,</w:t>
      </w:r>
      <w:r>
        <w:rPr>
          <w:rFonts w:hint="eastAsia" w:ascii="仿宋_GB2312"/>
          <w:lang w:val="en-US" w:eastAsia="zh-CN"/>
        </w:rPr>
        <w:t>772</w:t>
      </w:r>
      <w:r>
        <w:rPr>
          <w:rFonts w:hint="eastAsia" w:ascii="仿宋_GB2312" w:hAnsi="黑体"/>
        </w:rPr>
        <w:t>万元，</w:t>
      </w:r>
      <w:r>
        <w:rPr>
          <w:rFonts w:hint="eastAsia" w:ascii="仿宋_GB2312" w:hAnsi="黑体"/>
          <w:lang w:eastAsia="zh-CN"/>
        </w:rPr>
        <w:t>加上</w:t>
      </w:r>
      <w:r>
        <w:rPr>
          <w:rFonts w:hint="eastAsia" w:ascii="仿宋_GB2312" w:hAnsi="黑体"/>
        </w:rPr>
        <w:t>上级转移支付收入</w:t>
      </w:r>
      <w:r>
        <w:rPr>
          <w:rFonts w:hint="eastAsia" w:ascii="仿宋_GB2312" w:hAnsi="黑体"/>
          <w:lang w:val="en-US" w:eastAsia="zh-CN"/>
        </w:rPr>
        <w:t>428</w:t>
      </w:r>
      <w:r>
        <w:rPr>
          <w:rFonts w:hint="eastAsia" w:ascii="仿宋_GB2312" w:hAnsi="黑体"/>
        </w:rPr>
        <w:t>万元、动用预算稳定调节基金</w:t>
      </w:r>
      <w:r>
        <w:rPr>
          <w:rFonts w:hint="eastAsia" w:ascii="仿宋_GB2312" w:hAnsi="黑体"/>
          <w:lang w:val="en-US" w:eastAsia="zh-CN"/>
        </w:rPr>
        <w:t>653</w:t>
      </w:r>
      <w:r>
        <w:rPr>
          <w:rFonts w:hint="eastAsia" w:ascii="仿宋_GB2312" w:hAnsi="黑体"/>
        </w:rPr>
        <w:t>万元、调入其他资金</w:t>
      </w:r>
      <w:r>
        <w:rPr>
          <w:rFonts w:hint="eastAsia" w:ascii="仿宋_GB2312" w:hAnsi="黑体"/>
          <w:lang w:val="en-US" w:eastAsia="zh-CN"/>
        </w:rPr>
        <w:t>167</w:t>
      </w:r>
      <w:r>
        <w:rPr>
          <w:rFonts w:hint="eastAsia" w:ascii="仿宋_GB2312" w:hAnsi="黑体"/>
        </w:rPr>
        <w:t>万元，</w:t>
      </w:r>
      <w:r>
        <w:rPr>
          <w:rFonts w:hint="eastAsia" w:ascii="仿宋_GB2312" w:hAnsi="黑体"/>
          <w:lang w:val="en-US" w:eastAsia="zh-CN"/>
        </w:rPr>
        <w:t>昌盛</w:t>
      </w:r>
      <w:r>
        <w:rPr>
          <w:rFonts w:hint="eastAsia" w:ascii="仿宋_GB2312" w:hAnsi="黑体"/>
        </w:rPr>
        <w:t>街道一般公共预算总收入</w:t>
      </w:r>
      <w:r>
        <w:rPr>
          <w:rFonts w:hint="eastAsia" w:ascii="仿宋_GB2312" w:hAnsi="黑体"/>
          <w:lang w:val="en-US" w:eastAsia="zh-CN"/>
        </w:rPr>
        <w:t>5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020</w:t>
      </w:r>
      <w:r>
        <w:rPr>
          <w:rFonts w:hint="eastAsia" w:ascii="仿宋_GB2312" w:hAnsi="黑体"/>
        </w:rPr>
        <w:t>万元；</w:t>
      </w:r>
      <w:r>
        <w:rPr>
          <w:rFonts w:hint="eastAsia" w:ascii="仿宋_GB2312" w:hAnsi="黑体"/>
          <w:lang w:val="en-US" w:eastAsia="zh-CN"/>
        </w:rPr>
        <w:t>昌盛</w:t>
      </w:r>
      <w:r>
        <w:rPr>
          <w:rFonts w:hint="eastAsia" w:ascii="仿宋_GB2312" w:hAnsi="黑体"/>
        </w:rPr>
        <w:t>街道一般公共预算支出</w:t>
      </w:r>
      <w:r>
        <w:rPr>
          <w:rFonts w:hint="eastAsia" w:ascii="仿宋_GB2312"/>
        </w:rPr>
        <w:t>2,</w:t>
      </w:r>
      <w:r>
        <w:rPr>
          <w:rFonts w:hint="eastAsia" w:ascii="仿宋_GB2312"/>
          <w:lang w:val="en-US" w:eastAsia="zh-CN"/>
        </w:rPr>
        <w:t>936</w:t>
      </w:r>
      <w:r>
        <w:rPr>
          <w:rFonts w:hint="eastAsia" w:ascii="仿宋_GB2312" w:hAnsi="黑体"/>
        </w:rPr>
        <w:t>万元，加上上解上级支出</w:t>
      </w:r>
      <w:r>
        <w:rPr>
          <w:rFonts w:hint="eastAsia" w:ascii="仿宋_GB2312" w:hAnsi="黑体"/>
          <w:lang w:val="en-US" w:eastAsia="zh-CN"/>
        </w:rPr>
        <w:t>612</w:t>
      </w:r>
      <w:r>
        <w:rPr>
          <w:rFonts w:hint="eastAsia" w:ascii="仿宋_GB2312" w:hAnsi="黑体"/>
        </w:rPr>
        <w:t>万元、安排预算稳定调节基金</w:t>
      </w:r>
      <w:r>
        <w:rPr>
          <w:rFonts w:hint="eastAsia" w:ascii="仿宋_GB2312" w:hAnsi="黑体"/>
          <w:lang w:val="en-US" w:eastAsia="zh-CN"/>
        </w:rPr>
        <w:t>1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472</w:t>
      </w:r>
      <w:r>
        <w:rPr>
          <w:rFonts w:hint="eastAsia" w:ascii="仿宋_GB2312" w:hAnsi="黑体"/>
        </w:rPr>
        <w:t>万元</w:t>
      </w:r>
      <w:r>
        <w:rPr>
          <w:rFonts w:hint="eastAsia" w:ascii="仿宋_GB2312" w:hAnsi="黑体"/>
          <w:lang w:eastAsia="zh-CN"/>
        </w:rPr>
        <w:t>，</w:t>
      </w:r>
      <w:r>
        <w:rPr>
          <w:rFonts w:hint="eastAsia" w:ascii="仿宋_GB2312" w:hAnsi="黑体"/>
          <w:lang w:val="en-US" w:eastAsia="zh-CN"/>
        </w:rPr>
        <w:t>昌盛</w:t>
      </w:r>
      <w:r>
        <w:rPr>
          <w:rFonts w:hint="eastAsia" w:ascii="仿宋_GB2312" w:hAnsi="黑体"/>
        </w:rPr>
        <w:t>街道一般公共预算总支出5,020万元。收支相抵，预算平衡</w:t>
      </w:r>
      <w:r>
        <w:rPr>
          <w:rFonts w:hint="eastAsia" w:ascii="仿宋_GB2312" w:hAnsi="黑体"/>
          <w:lang w:eastAsia="zh-CN"/>
        </w:rPr>
        <w:t>。</w:t>
      </w:r>
      <w:r>
        <w:rPr>
          <w:rFonts w:hint="eastAsia" w:ascii="仿宋_GB2312"/>
          <w:highlight w:val="none"/>
        </w:rPr>
        <w:t>（6）明阳</w:t>
      </w:r>
      <w:r>
        <w:rPr>
          <w:rFonts w:hint="eastAsia" w:ascii="仿宋_GB2312" w:hAnsi="黑体"/>
          <w:highlight w:val="none"/>
        </w:rPr>
        <w:t>街道一般公共预算收入</w:t>
      </w:r>
      <w:r>
        <w:rPr>
          <w:rFonts w:hint="eastAsia" w:ascii="仿宋_GB2312"/>
          <w:highlight w:val="none"/>
          <w:lang w:val="en-US" w:eastAsia="zh-CN"/>
        </w:rPr>
        <w:t>4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471</w:t>
      </w:r>
      <w:r>
        <w:rPr>
          <w:rFonts w:hint="eastAsia" w:ascii="仿宋_GB2312"/>
          <w:highlight w:val="none"/>
        </w:rPr>
        <w:t>万元</w:t>
      </w:r>
      <w:r>
        <w:rPr>
          <w:rFonts w:hint="eastAsia" w:ascii="仿宋_GB2312"/>
          <w:highlight w:val="none"/>
          <w:lang w:eastAsia="zh-CN"/>
        </w:rPr>
        <w:t>，</w:t>
      </w:r>
      <w:r>
        <w:rPr>
          <w:rFonts w:hint="eastAsia" w:ascii="仿宋_GB2312"/>
          <w:highlight w:val="none"/>
        </w:rPr>
        <w:t>加上上级转移支付收入</w:t>
      </w:r>
      <w:r>
        <w:rPr>
          <w:rFonts w:hint="eastAsia" w:ascii="仿宋_GB2312"/>
          <w:highlight w:val="none"/>
          <w:lang w:val="en-US" w:eastAsia="zh-CN"/>
        </w:rPr>
        <w:t>859</w:t>
      </w:r>
      <w:r>
        <w:rPr>
          <w:rFonts w:hint="eastAsia" w:ascii="仿宋_GB2312"/>
          <w:highlight w:val="none"/>
        </w:rPr>
        <w:t>万元、上年结转收入</w:t>
      </w:r>
      <w:r>
        <w:rPr>
          <w:rFonts w:hint="eastAsia" w:ascii="仿宋_GB2312"/>
          <w:highlight w:val="none"/>
          <w:lang w:val="en-US" w:eastAsia="zh-CN"/>
        </w:rPr>
        <w:t>608</w:t>
      </w:r>
      <w:r>
        <w:rPr>
          <w:rFonts w:hint="eastAsia" w:ascii="仿宋_GB2312"/>
          <w:highlight w:val="none"/>
        </w:rPr>
        <w:t>万元，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明阳街道一般公共预算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总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收入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5,938</w:t>
      </w:r>
      <w:r>
        <w:rPr>
          <w:rFonts w:hint="eastAsia" w:ascii="仿宋_GB2312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明阳</w:t>
      </w:r>
      <w:r>
        <w:rPr>
          <w:rFonts w:hint="eastAsia" w:ascii="仿宋_GB2312" w:hAnsi="黑体"/>
          <w:highlight w:val="none"/>
        </w:rPr>
        <w:t>街道一般公共预算支出</w:t>
      </w:r>
      <w:r>
        <w:rPr>
          <w:rFonts w:hint="eastAsia" w:ascii="仿宋_GB2312"/>
          <w:highlight w:val="none"/>
          <w:lang w:val="en-US" w:eastAsia="zh-CN"/>
        </w:rPr>
        <w:t>5</w:t>
      </w:r>
      <w:r>
        <w:rPr>
          <w:rFonts w:hint="eastAsia" w:ascii="仿宋_GB2312"/>
          <w:highlight w:val="none"/>
        </w:rPr>
        <w:t>,</w:t>
      </w:r>
      <w:r>
        <w:rPr>
          <w:rFonts w:hint="eastAsia" w:ascii="仿宋_GB2312"/>
          <w:highlight w:val="none"/>
          <w:lang w:val="en-US" w:eastAsia="zh-CN"/>
        </w:rPr>
        <w:t>55</w:t>
      </w:r>
      <w:r>
        <w:rPr>
          <w:rFonts w:hint="eastAsia" w:ascii="仿宋_GB2312"/>
          <w:highlight w:val="none"/>
        </w:rPr>
        <w:t>5</w:t>
      </w:r>
      <w:r>
        <w:rPr>
          <w:rFonts w:hint="eastAsia" w:ascii="仿宋_GB2312" w:hAnsi="黑体"/>
          <w:highlight w:val="none"/>
        </w:rPr>
        <w:t>万元，加上上解上级支出</w:t>
      </w:r>
      <w:r>
        <w:rPr>
          <w:rFonts w:hint="eastAsia" w:ascii="仿宋_GB2312" w:hAnsi="黑体"/>
          <w:highlight w:val="none"/>
          <w:lang w:val="en-US" w:eastAsia="zh-CN"/>
        </w:rPr>
        <w:t>383</w:t>
      </w:r>
      <w:r>
        <w:rPr>
          <w:rFonts w:hint="eastAsia" w:ascii="仿宋_GB2312" w:hAnsi="黑体"/>
          <w:highlight w:val="none"/>
        </w:rPr>
        <w:t>万元，</w:t>
      </w:r>
      <w:r>
        <w:rPr>
          <w:rFonts w:hint="eastAsia" w:ascii="仿宋_GB2312" w:hAnsi="黑体"/>
          <w:highlight w:val="none"/>
          <w:lang w:val="en-US" w:eastAsia="zh-CN"/>
        </w:rPr>
        <w:t>明阳</w:t>
      </w:r>
      <w:r>
        <w:rPr>
          <w:rFonts w:hint="eastAsia" w:ascii="仿宋_GB2312" w:hAnsi="黑体"/>
          <w:highlight w:val="none"/>
        </w:rPr>
        <w:t>街道一般公共预算总支出5,938万元。收支相抵，预算平衡。</w:t>
      </w:r>
    </w:p>
    <w:p w14:paraId="56C9A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465" w:firstLineChars="147"/>
        <w:textAlignment w:val="auto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（二）政府性基金预算执行情况</w:t>
      </w:r>
    </w:p>
    <w:p w14:paraId="0A650A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32" w:firstLineChars="200"/>
        <w:textAlignment w:val="auto"/>
        <w:rPr>
          <w:rFonts w:ascii="仿宋_GB2312" w:hAnsi="黑体"/>
        </w:rPr>
      </w:pPr>
      <w:r>
        <w:rPr>
          <w:rFonts w:hint="eastAsia" w:ascii="仿宋_GB2312" w:hAnsi="黑体"/>
        </w:rPr>
        <w:t>全市政府性基金预算收入</w:t>
      </w:r>
      <w:r>
        <w:rPr>
          <w:rFonts w:hint="eastAsia" w:ascii="仿宋_GB2312" w:hAnsi="黑体"/>
          <w:lang w:val="en-US" w:eastAsia="zh-CN"/>
        </w:rPr>
        <w:t>65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326</w:t>
      </w:r>
      <w:r>
        <w:rPr>
          <w:rFonts w:hint="eastAsia" w:ascii="仿宋_GB2312" w:hAnsi="黑体"/>
        </w:rPr>
        <w:t>万元，</w:t>
      </w:r>
      <w:r>
        <w:rPr>
          <w:rFonts w:hint="eastAsia" w:ascii="仿宋_GB2312"/>
        </w:rPr>
        <w:t>完成年初预算的</w:t>
      </w:r>
      <w:r>
        <w:rPr>
          <w:rFonts w:hint="eastAsia" w:ascii="仿宋_GB2312" w:hAnsi="黑体"/>
          <w:lang w:val="en-US" w:eastAsia="zh-CN"/>
        </w:rPr>
        <w:t>77.4</w:t>
      </w:r>
      <w:r>
        <w:rPr>
          <w:rFonts w:hint="eastAsia" w:ascii="仿宋_GB2312" w:hAnsi="黑体"/>
        </w:rPr>
        <w:t>%，增长231.5 %</w:t>
      </w:r>
      <w:r>
        <w:rPr>
          <w:rFonts w:hint="eastAsia" w:ascii="仿宋_GB2312" w:hAnsi="黑体"/>
          <w:sz w:val="30"/>
          <w:szCs w:val="30"/>
        </w:rPr>
        <w:t>，加上</w:t>
      </w:r>
      <w:r>
        <w:rPr>
          <w:rFonts w:hint="eastAsia" w:ascii="仿宋_GB2312" w:hAnsi="黑体"/>
        </w:rPr>
        <w:t>上级转移支付收入</w:t>
      </w:r>
      <w:r>
        <w:rPr>
          <w:rFonts w:hint="eastAsia" w:ascii="仿宋_GB2312" w:hAnsi="黑体"/>
          <w:lang w:val="en-US" w:eastAsia="zh-CN"/>
        </w:rPr>
        <w:t>113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892</w:t>
      </w:r>
      <w:r>
        <w:rPr>
          <w:rFonts w:hint="eastAsia" w:ascii="仿宋_GB2312" w:hAnsi="黑体"/>
        </w:rPr>
        <w:t>万元</w:t>
      </w:r>
      <w:r>
        <w:rPr>
          <w:rFonts w:hint="eastAsia" w:ascii="仿宋_GB2312" w:hAnsi="黑体"/>
          <w:lang w:eastAsia="zh-CN"/>
        </w:rPr>
        <w:t>（</w:t>
      </w:r>
      <w:r>
        <w:rPr>
          <w:rFonts w:hint="eastAsia" w:ascii="仿宋_GB2312" w:hAnsi="黑体"/>
          <w:lang w:val="en-US" w:eastAsia="zh-CN"/>
        </w:rPr>
        <w:t>其中超长期特别国债107,451万元）</w:t>
      </w:r>
      <w:r>
        <w:rPr>
          <w:rFonts w:hint="eastAsia" w:ascii="仿宋_GB2312" w:hAnsi="黑体"/>
        </w:rPr>
        <w:t>、上年结转收入</w:t>
      </w:r>
      <w:r>
        <w:rPr>
          <w:rFonts w:hint="eastAsia" w:ascii="仿宋_GB2312" w:hAnsi="黑体"/>
          <w:lang w:val="en-US" w:eastAsia="zh-CN"/>
        </w:rPr>
        <w:t>79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193</w:t>
      </w:r>
      <w:r>
        <w:rPr>
          <w:rFonts w:hint="eastAsia" w:ascii="仿宋_GB2312" w:hAnsi="黑体"/>
        </w:rPr>
        <w:t>万元、</w:t>
      </w:r>
      <w:r>
        <w:rPr>
          <w:rFonts w:hint="eastAsia" w:ascii="仿宋_GB2312"/>
        </w:rPr>
        <w:t>地方政府专项债务转贷收入</w:t>
      </w:r>
      <w:r>
        <w:rPr>
          <w:rFonts w:hint="eastAsia" w:ascii="仿宋_GB2312" w:hAnsi="黑体"/>
          <w:lang w:val="en-US" w:eastAsia="zh-CN"/>
        </w:rPr>
        <w:t>241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031</w:t>
      </w:r>
      <w:r>
        <w:rPr>
          <w:rFonts w:hint="eastAsia" w:ascii="仿宋_GB2312" w:hAnsi="黑体"/>
        </w:rPr>
        <w:t>万元，</w:t>
      </w:r>
      <w:r>
        <w:rPr>
          <w:rFonts w:hint="eastAsia" w:ascii="仿宋_GB2312" w:hAnsi="黑体"/>
          <w:lang w:val="en-US" w:eastAsia="zh-CN"/>
        </w:rPr>
        <w:t>全市</w:t>
      </w:r>
      <w:r>
        <w:rPr>
          <w:rFonts w:hint="eastAsia" w:ascii="仿宋_GB2312" w:hAnsi="黑体"/>
        </w:rPr>
        <w:t>政府性基金预算总收入</w:t>
      </w:r>
      <w:r>
        <w:rPr>
          <w:rFonts w:hint="eastAsia" w:ascii="仿宋_GB2312" w:hAnsi="黑体"/>
          <w:lang w:val="en-US" w:eastAsia="zh-CN"/>
        </w:rPr>
        <w:t>499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442</w:t>
      </w:r>
      <w:r>
        <w:rPr>
          <w:rFonts w:hint="eastAsia" w:ascii="仿宋_GB2312" w:hAnsi="黑体"/>
        </w:rPr>
        <w:t>万元；全市政府性基金预算支出</w:t>
      </w:r>
      <w:r>
        <w:rPr>
          <w:rFonts w:hint="eastAsia" w:ascii="仿宋_GB2312" w:hAnsi="黑体"/>
          <w:lang w:val="en-US" w:eastAsia="zh-CN"/>
        </w:rPr>
        <w:t>77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108</w:t>
      </w:r>
      <w:r>
        <w:rPr>
          <w:rFonts w:hint="eastAsia" w:ascii="仿宋_GB2312" w:hAnsi="黑体"/>
        </w:rPr>
        <w:t>万元，</w:t>
      </w:r>
      <w:r>
        <w:rPr>
          <w:rFonts w:hint="eastAsia" w:ascii="仿宋_GB2312" w:hAnsi="黑体"/>
          <w:lang w:val="en-US" w:eastAsia="zh-CN"/>
        </w:rPr>
        <w:t>完成年初预算的96.6%，增长</w:t>
      </w:r>
      <w:r>
        <w:rPr>
          <w:rFonts w:hint="eastAsia" w:ascii="仿宋_GB2312" w:hAnsi="黑体"/>
        </w:rPr>
        <w:t>126.4</w:t>
      </w:r>
      <w:r>
        <w:rPr>
          <w:rFonts w:hint="eastAsia" w:ascii="仿宋_GB2312" w:hAnsi="黑体"/>
          <w:lang w:val="en-US" w:eastAsia="zh-CN"/>
        </w:rPr>
        <w:t>%，</w:t>
      </w:r>
      <w:r>
        <w:rPr>
          <w:rFonts w:hint="eastAsia" w:ascii="仿宋_GB2312" w:hAnsi="黑体"/>
        </w:rPr>
        <w:t>加上调出资金</w:t>
      </w:r>
      <w:r>
        <w:rPr>
          <w:rFonts w:hint="eastAsia" w:ascii="仿宋_GB2312" w:hAnsi="黑体"/>
          <w:lang w:val="en-US" w:eastAsia="zh-CN"/>
        </w:rPr>
        <w:t>4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779</w:t>
      </w:r>
      <w:r>
        <w:rPr>
          <w:rFonts w:hint="eastAsia" w:ascii="仿宋_GB2312" w:hAnsi="黑体"/>
        </w:rPr>
        <w:t>万元、</w:t>
      </w:r>
      <w:r>
        <w:rPr>
          <w:rFonts w:hint="eastAsia" w:ascii="仿宋_GB2312" w:hAnsi="黑体"/>
          <w:lang w:val="en-US" w:eastAsia="zh-CN"/>
        </w:rPr>
        <w:t>专项债务还本</w:t>
      </w:r>
      <w:r>
        <w:rPr>
          <w:rFonts w:hint="eastAsia" w:ascii="仿宋_GB2312" w:hAnsi="黑体"/>
          <w:highlight w:val="none"/>
        </w:rPr>
        <w:t>支出</w:t>
      </w:r>
      <w:r>
        <w:rPr>
          <w:rFonts w:hint="eastAsia" w:ascii="仿宋_GB2312" w:hAnsi="黑体"/>
          <w:lang w:val="en-US" w:eastAsia="zh-CN"/>
        </w:rPr>
        <w:t>241,031</w:t>
      </w:r>
      <w:r>
        <w:rPr>
          <w:rFonts w:hint="eastAsia" w:ascii="仿宋_GB2312" w:hAnsi="黑体"/>
        </w:rPr>
        <w:t>万元、</w:t>
      </w:r>
      <w:r>
        <w:rPr>
          <w:rFonts w:hint="eastAsia" w:ascii="仿宋_GB2312" w:hAnsi="黑体"/>
          <w:lang w:val="en-US" w:eastAsia="zh-CN"/>
        </w:rPr>
        <w:t>结转下年支出176</w:t>
      </w:r>
      <w:r>
        <w:rPr>
          <w:rFonts w:hint="eastAsia" w:ascii="仿宋_GB2312" w:hAnsi="黑体"/>
        </w:rPr>
        <w:t>,</w:t>
      </w:r>
      <w:r>
        <w:rPr>
          <w:rFonts w:hint="eastAsia" w:ascii="仿宋_GB2312" w:hAnsi="黑体"/>
          <w:lang w:val="en-US" w:eastAsia="zh-CN"/>
        </w:rPr>
        <w:t>524</w:t>
      </w:r>
      <w:r>
        <w:rPr>
          <w:rFonts w:hint="eastAsia" w:ascii="仿宋_GB2312" w:hAnsi="黑体"/>
        </w:rPr>
        <w:t>万元，全市政府性基金预算总</w:t>
      </w:r>
      <w:r>
        <w:rPr>
          <w:rFonts w:hint="eastAsia" w:ascii="仿宋_GB2312" w:hAnsi="黑体"/>
          <w:lang w:val="en-US" w:eastAsia="zh-CN"/>
        </w:rPr>
        <w:t>支出</w:t>
      </w:r>
      <w:r>
        <w:rPr>
          <w:rFonts w:hint="eastAsia" w:ascii="仿宋_GB2312" w:hAnsi="黑体"/>
        </w:rPr>
        <w:t>499,442万元。收支相抵，预算平衡。</w:t>
      </w:r>
    </w:p>
    <w:p w14:paraId="328A1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465" w:firstLineChars="147"/>
        <w:textAlignment w:val="auto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（三）国有资本经营预算执行情况</w:t>
      </w:r>
    </w:p>
    <w:p w14:paraId="79896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32" w:firstLineChars="200"/>
        <w:textAlignment w:val="auto"/>
        <w:rPr>
          <w:rFonts w:ascii="仿宋_GB2312"/>
          <w:highlight w:val="none"/>
        </w:rPr>
      </w:pPr>
      <w:r>
        <w:rPr>
          <w:rFonts w:hint="eastAsia" w:ascii="仿宋_GB2312"/>
          <w:highlight w:val="none"/>
        </w:rPr>
        <w:t>全市国有资本经营预算</w:t>
      </w:r>
      <w:r>
        <w:rPr>
          <w:rFonts w:hint="eastAsia" w:ascii="仿宋_GB2312" w:hAnsi="黑体"/>
          <w:highlight w:val="none"/>
        </w:rPr>
        <w:t>收入</w:t>
      </w:r>
      <w:r>
        <w:rPr>
          <w:rFonts w:hint="eastAsia" w:ascii="仿宋_GB2312"/>
          <w:highlight w:val="none"/>
          <w:lang w:val="en-US" w:eastAsia="zh-CN"/>
        </w:rPr>
        <w:t>5</w:t>
      </w:r>
      <w:r>
        <w:rPr>
          <w:rFonts w:hint="eastAsia" w:ascii="仿宋_GB2312"/>
          <w:highlight w:val="none"/>
        </w:rPr>
        <w:t>2万元，完成年初预算的</w:t>
      </w:r>
      <w:r>
        <w:rPr>
          <w:rFonts w:hint="eastAsia" w:ascii="仿宋_GB2312"/>
          <w:highlight w:val="none"/>
          <w:lang w:val="en-US" w:eastAsia="zh-CN"/>
        </w:rPr>
        <w:t>14.4</w:t>
      </w:r>
      <w:r>
        <w:rPr>
          <w:rFonts w:hint="eastAsia" w:ascii="仿宋_GB2312"/>
          <w:highlight w:val="none"/>
        </w:rPr>
        <w:t>%，</w:t>
      </w:r>
      <w:r>
        <w:rPr>
          <w:rFonts w:hint="eastAsia" w:ascii="仿宋_GB2312"/>
          <w:highlight w:val="none"/>
          <w:lang w:val="en-US" w:eastAsia="zh-CN"/>
        </w:rPr>
        <w:t>增长136.4</w:t>
      </w:r>
      <w:r>
        <w:rPr>
          <w:rFonts w:hint="eastAsia" w:ascii="仿宋_GB2312"/>
          <w:highlight w:val="none"/>
        </w:rPr>
        <w:t>%</w:t>
      </w:r>
      <w:r>
        <w:rPr>
          <w:rFonts w:hint="eastAsia" w:ascii="仿宋_GB2312"/>
          <w:highlight w:val="none"/>
          <w:lang w:eastAsia="zh-CN"/>
        </w:rPr>
        <w:t>。</w:t>
      </w:r>
      <w:r>
        <w:rPr>
          <w:rFonts w:hint="eastAsia" w:ascii="仿宋_GB2312" w:hAnsi="黑体"/>
          <w:highlight w:val="none"/>
          <w:lang w:eastAsia="zh-CN"/>
        </w:rPr>
        <w:t>全市国有资本经营预算</w:t>
      </w:r>
      <w:r>
        <w:rPr>
          <w:rFonts w:hint="eastAsia" w:ascii="仿宋_GB2312" w:hAnsi="黑体"/>
          <w:highlight w:val="none"/>
        </w:rPr>
        <w:t>支出</w:t>
      </w:r>
      <w:r>
        <w:rPr>
          <w:rFonts w:hint="eastAsia" w:ascii="仿宋_GB2312" w:hAnsi="黑体"/>
          <w:highlight w:val="none"/>
          <w:lang w:val="en-US" w:eastAsia="zh-CN"/>
        </w:rPr>
        <w:t>2万元</w:t>
      </w:r>
      <w:r>
        <w:rPr>
          <w:rFonts w:hint="eastAsia" w:ascii="仿宋_GB2312" w:hAnsi="黑体"/>
          <w:highlight w:val="none"/>
        </w:rPr>
        <w:t>，</w:t>
      </w:r>
      <w:r>
        <w:rPr>
          <w:rFonts w:hint="eastAsia" w:ascii="仿宋_GB2312" w:hAnsi="黑体"/>
          <w:highlight w:val="none"/>
          <w:lang w:val="en-US" w:eastAsia="zh-CN"/>
        </w:rPr>
        <w:t>剩余</w:t>
      </w:r>
      <w:r>
        <w:rPr>
          <w:rFonts w:hint="eastAsia" w:ascii="仿宋_GB2312" w:hAnsi="黑体"/>
          <w:highlight w:val="none"/>
        </w:rPr>
        <w:t>全部调入一般公共预算。</w:t>
      </w:r>
    </w:p>
    <w:p w14:paraId="72CD03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465" w:firstLineChars="147"/>
        <w:textAlignment w:val="auto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（四）社会保险基金预算执行情况</w:t>
      </w:r>
    </w:p>
    <w:p w14:paraId="3A07AD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2" w:firstLineChars="200"/>
        <w:textAlignment w:val="auto"/>
        <w:rPr>
          <w:rFonts w:ascii="仿宋_GB2312" w:hAnsi="宋体"/>
        </w:rPr>
      </w:pPr>
      <w:r>
        <w:rPr>
          <w:rFonts w:hint="eastAsia" w:ascii="仿宋_GB2312" w:hAnsi="仿宋_GB2312" w:cs="仿宋_GB2312"/>
        </w:rPr>
        <w:t>我市负责统筹的是机关事业单位养老保险基金</w:t>
      </w:r>
      <w:r>
        <w:rPr>
          <w:rFonts w:hint="eastAsia" w:ascii="仿宋_GB2312" w:hAnsi="仿宋_GB2312" w:cs="仿宋_GB2312"/>
          <w:sz w:val="30"/>
          <w:szCs w:val="30"/>
        </w:rPr>
        <w:t>（均为市本级），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>全市</w:t>
      </w:r>
      <w:r>
        <w:rPr>
          <w:rFonts w:hint="eastAsia" w:ascii="仿宋_GB2312" w:hAnsi="仿宋_GB2312" w:cs="仿宋_GB2312"/>
        </w:rPr>
        <w:t>社会保险基金预算收入</w:t>
      </w:r>
      <w:r>
        <w:rPr>
          <w:rFonts w:hint="eastAsia" w:ascii="仿宋_GB2312" w:hAnsi="仿宋_GB2312" w:cs="仿宋_GB2312"/>
          <w:lang w:val="en-US" w:eastAsia="zh-CN"/>
        </w:rPr>
        <w:t>97,742</w:t>
      </w:r>
      <w:r>
        <w:rPr>
          <w:rFonts w:hint="eastAsia" w:ascii="仿宋_GB2312" w:hAnsi="仿宋_GB2312"/>
        </w:rPr>
        <w:t>万元，</w:t>
      </w:r>
      <w:r>
        <w:rPr>
          <w:rFonts w:hint="eastAsia" w:ascii="仿宋_GB2312" w:hAnsi="宋体"/>
        </w:rPr>
        <w:t>其中财政补助收入</w:t>
      </w:r>
      <w:r>
        <w:rPr>
          <w:rFonts w:hint="eastAsia" w:ascii="仿宋_GB2312" w:hAnsi="宋体"/>
          <w:lang w:val="en-US" w:eastAsia="zh-CN"/>
        </w:rPr>
        <w:t>68,000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sz w:val="28"/>
          <w:szCs w:val="28"/>
        </w:rPr>
        <w:t>（一般公共预算中在“ 机关事业单位基本养老保险基金财政补助收入”科目反映）</w:t>
      </w:r>
      <w:r>
        <w:rPr>
          <w:rFonts w:hint="eastAsia" w:ascii="仿宋_GB2312" w:hAnsi="仿宋_GB2312"/>
        </w:rPr>
        <w:t>；全市社会保险基金预算</w:t>
      </w:r>
      <w:r>
        <w:rPr>
          <w:rFonts w:hint="eastAsia" w:ascii="仿宋_GB2312" w:hAnsi="宋体"/>
        </w:rPr>
        <w:t>支出</w:t>
      </w:r>
      <w:r>
        <w:rPr>
          <w:rFonts w:hint="eastAsia" w:ascii="仿宋_GB2312" w:hAnsi="宋体"/>
          <w:lang w:val="en-US" w:eastAsia="zh-CN"/>
        </w:rPr>
        <w:t>97</w:t>
      </w:r>
      <w:r>
        <w:rPr>
          <w:rFonts w:hint="eastAsia" w:ascii="仿宋_GB2312" w:hAnsi="宋体"/>
        </w:rPr>
        <w:t>,</w:t>
      </w:r>
      <w:r>
        <w:rPr>
          <w:rFonts w:hint="eastAsia" w:ascii="仿宋_GB2312" w:hAnsi="宋体"/>
          <w:lang w:val="en-US" w:eastAsia="zh-CN"/>
        </w:rPr>
        <w:t>742</w:t>
      </w:r>
      <w:r>
        <w:rPr>
          <w:rFonts w:hint="eastAsia" w:ascii="仿宋_GB2312" w:hAnsi="仿宋_GB2312"/>
        </w:rPr>
        <w:t>万元</w:t>
      </w:r>
      <w:r>
        <w:rPr>
          <w:rFonts w:hint="eastAsia" w:ascii="仿宋_GB2312" w:hAnsi="宋体"/>
        </w:rPr>
        <w:t>。</w:t>
      </w:r>
    </w:p>
    <w:p w14:paraId="172F4A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2" w:firstLineChars="200"/>
        <w:textAlignment w:val="auto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</w:rPr>
        <w:t>债务情况。我市</w:t>
      </w:r>
      <w:r>
        <w:rPr>
          <w:rFonts w:hint="eastAsia" w:ascii="仿宋_GB2312" w:hAnsi="仿宋_GB2312" w:cs="仿宋_GB2312"/>
          <w:sz w:val="30"/>
          <w:szCs w:val="30"/>
        </w:rPr>
        <w:t>（含北黄海经开区）</w:t>
      </w:r>
      <w:r>
        <w:rPr>
          <w:rFonts w:hint="eastAsia" w:ascii="仿宋_GB2312" w:hAnsi="仿宋_GB2312" w:cs="仿宋_GB2312"/>
        </w:rPr>
        <w:t>由上级政府代发再融资债券7.6亿元，及时置换到期债务7.6亿元</w:t>
      </w:r>
      <w:r>
        <w:rPr>
          <w:rFonts w:hint="eastAsia" w:ascii="仿宋_GB2312" w:hAnsi="仿宋_GB2312" w:cs="仿宋_GB2312"/>
          <w:lang w:eastAsia="zh-CN"/>
        </w:rPr>
        <w:t>；</w:t>
      </w:r>
      <w:r>
        <w:rPr>
          <w:rFonts w:hint="eastAsia" w:ascii="仿宋_GB2312" w:hAnsi="仿宋_GB2312" w:cs="仿宋_GB2312"/>
        </w:rPr>
        <w:t>此外，通过自有资金偿还专项债券本金0.84亿元</w:t>
      </w:r>
      <w:r>
        <w:rPr>
          <w:rFonts w:hint="eastAsia" w:ascii="仿宋_GB2312" w:hAnsi="仿宋_GB2312" w:cs="仿宋_GB2312"/>
          <w:lang w:eastAsia="zh-CN"/>
        </w:rPr>
        <w:t>；</w:t>
      </w:r>
      <w:r>
        <w:rPr>
          <w:rFonts w:hint="eastAsia" w:ascii="仿宋_GB2312" w:hAnsi="仿宋_GB2312" w:cs="仿宋_GB2312"/>
        </w:rPr>
        <w:t>由上级政府代发专项债券20.4亿元，用于置换到期隐性债务20.4亿元</w:t>
      </w:r>
      <w:r>
        <w:rPr>
          <w:rFonts w:hint="eastAsia" w:ascii="仿宋_GB2312" w:hAnsi="仿宋_GB2312" w:cs="仿宋_GB2312"/>
          <w:lang w:eastAsia="zh-CN"/>
        </w:rPr>
        <w:t>。</w:t>
      </w:r>
      <w:r>
        <w:rPr>
          <w:rFonts w:hint="eastAsia" w:ascii="仿宋_GB2312" w:hAnsi="仿宋_GB2312" w:cs="仿宋_GB2312"/>
        </w:rPr>
        <w:t>政府债务余额284.84亿元，控制在上级政府下达的债务限额以内。</w:t>
      </w:r>
    </w:p>
    <w:p w14:paraId="1A27FD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2" w:firstLineChars="200"/>
        <w:textAlignment w:val="auto"/>
        <w:rPr>
          <w:rFonts w:ascii="黑体" w:hAnsi="黑体" w:eastAsia="黑体" w:cs="黑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二、202</w:t>
      </w:r>
      <w:r>
        <w:rPr>
          <w:rFonts w:hint="eastAsia" w:ascii="黑体" w:hAnsi="黑体" w:eastAsia="黑体" w:cs="黑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年财政主要工作</w:t>
      </w:r>
    </w:p>
    <w:p w14:paraId="347A6D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2" w:firstLineChars="200"/>
        <w:textAlignment w:val="auto"/>
        <w:rPr>
          <w:rFonts w:hint="eastAsia" w:ascii="仿宋_GB2312"/>
          <w:sz w:val="32"/>
          <w:szCs w:val="32"/>
          <w:highlight w:val="none"/>
        </w:rPr>
      </w:pPr>
      <w:r>
        <w:rPr>
          <w:rFonts w:hint="eastAsia" w:ascii="仿宋_GB2312"/>
          <w:sz w:val="32"/>
          <w:szCs w:val="32"/>
          <w:highlight w:val="none"/>
        </w:rPr>
        <w:t>202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/>
          <w:sz w:val="32"/>
          <w:szCs w:val="32"/>
          <w:highlight w:val="none"/>
        </w:rPr>
        <w:t>年，我市认真落实市人大预算决议要求，严格执行财政政策，强化财政收支管理</w:t>
      </w:r>
      <w:r>
        <w:rPr>
          <w:rFonts w:hint="eastAsia" w:ascii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/>
          <w:sz w:val="32"/>
          <w:szCs w:val="32"/>
          <w:highlight w:val="none"/>
        </w:rPr>
        <w:t>以“开源节流促发展”为抓手，统筹推进“稳</w:t>
      </w:r>
      <w:r>
        <w:rPr>
          <w:rFonts w:hint="eastAsia" w:ascii="仿宋_GB2312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/>
          <w:sz w:val="32"/>
          <w:szCs w:val="32"/>
          <w:highlight w:val="none"/>
        </w:rPr>
        <w:t>、兜三保、防风险、促改革”各项工作，有力促进了全</w:t>
      </w:r>
      <w:r>
        <w:rPr>
          <w:rFonts w:hint="eastAsia" w:ascii="仿宋_GB2312"/>
          <w:sz w:val="32"/>
          <w:szCs w:val="32"/>
          <w:highlight w:val="none"/>
          <w:lang w:eastAsia="zh-CN"/>
        </w:rPr>
        <w:t>市</w:t>
      </w:r>
      <w:r>
        <w:rPr>
          <w:rFonts w:hint="eastAsia" w:ascii="仿宋_GB2312"/>
          <w:sz w:val="32"/>
          <w:szCs w:val="32"/>
          <w:highlight w:val="none"/>
        </w:rPr>
        <w:t>经济社会平稳健康发展。</w:t>
      </w:r>
    </w:p>
    <w:p w14:paraId="306BB45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420"/>
        <w:jc w:val="both"/>
        <w:textAlignment w:val="auto"/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  <w:t>（一）狠抓增收节支，促进财政平稳运行</w:t>
      </w:r>
    </w:p>
    <w:p w14:paraId="36FCC00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right="0" w:firstLine="632" w:firstLineChars="200"/>
        <w:jc w:val="both"/>
        <w:textAlignment w:val="auto"/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一是强化税收管控能力。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督促北黄海经开区、各乡镇（街道）切实履行组织收入主体责任，把深挖税源、组织收入作为财政工作的头等大事来抓，紧盯既定目标任务，千方百计挖掘和培育新的收入增长点。全年财政收入预计完成66.1亿元，同比增长6%。</w:t>
      </w: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二是强化向上资金争取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。加强上级政策研究，加大向上衔接沟通力度，有针对性</w:t>
      </w:r>
      <w:bookmarkStart w:id="0" w:name="_GoBack"/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的</w:t>
      </w:r>
      <w:bookmarkEnd w:id="0"/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向上争取项目资金。全年向上争取资金77亿元（含专项债券置换隐性债20.4亿元、超长期特别国债10.7亿元、增发国债4.4亿元、再融资债券7.6亿元），资金争取工作在规模和质量上取得新突破。</w:t>
      </w: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三是强化资金统筹使用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。加大存量资金清理力度，及时调整、收回各类存量资金，统筹用于“三保”、化债和经济发展急需支出领域，缓解重点支出压力。</w:t>
      </w: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四是强化预算刚性约束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。牢固树立过“紧日子”思想，严格实施编外人员和经费支出“双控”，细化一般性支出项目清单。在预算编制中，压减一般性支出1.37亿元，压减比例23%。在执行过程中，持续压减一般性支出0.42亿元，压减比例10.7%。“三公”经费比去年减少268万元，降幅18%。大力缩减党政机关会议、培训等运行成本，推动资产共享公用，坚持有保有压，将压减资金用在“三保”各项支出上。</w:t>
      </w:r>
    </w:p>
    <w:p w14:paraId="1AB35A7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420"/>
        <w:jc w:val="both"/>
        <w:textAlignment w:val="auto"/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  <w:t>（二）保障民生支出，兜牢兜实“三保”底线</w:t>
      </w:r>
    </w:p>
    <w:p w14:paraId="49497F4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420"/>
        <w:jc w:val="both"/>
        <w:textAlignment w:val="auto"/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秉承“尽力而为、量力而行”原则，落实好各项民生政策，全市民生支出约85.8亿元，占一般公共预算支出的79.8%，实现保基本民生、保工资、保运转。</w:t>
      </w: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一是助力教育全面发展。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持续加强对教育事业投入约7.7亿元，主要用于学前教育发展、城乡义务教育补助、义务教育薄弱环节改善，推动城乡义务教育优质均衡发展。</w:t>
      </w: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二是提升社会保障能力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。强化基本公共卫生服务、医疗救助等保障能力。落实好国家提高优抚对象抚恤和生活补助等政策，累计投入资金18亿元，切实保障好群众基本生活；实施惠民惠农政策，累计发放种粮农民一次性补贴、农机具购置补贴等各类补贴资金2.1亿元，惠及34.3万人次，制定并公开公示政策清单，确保农民清楚了解资金的来源、去向以及发放的具体数额。三</w:t>
      </w: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是</w:t>
      </w:r>
      <w:r>
        <w:rPr>
          <w:rFonts w:ascii="仿宋_GB2312" w:hAnsi="Times New Roman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加快</w:t>
      </w:r>
      <w:r>
        <w:rPr>
          <w:rFonts w:hint="eastAsia" w:ascii="仿宋_GB2312" w:hAnsi="Times New Roman" w:eastAsia="仿宋_GB2312" w:cs="仿宋_GB2312"/>
          <w:b/>
          <w:bCs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补齐民生短板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。积极推进高标准农田建设，拨付资金0.14亿元，建设面积达1.7万亩，提高农业生产效率和粮食安全；启动灌区续建改造工程，拨付资金3.6亿元，改善灌溉系统，确保农田得到充足的水源供应；在海洋生态保护修复方面，拨付资金2.2亿元，改善海洋生态环境质量，提高海洋生态系统碳汇能力；热电联产供热重点民生项目，拨付资金1.2亿元，项目完工后，不仅提高了能源利用效率，还为居民提供了更加稳定和经济的供热服务。</w:t>
      </w:r>
    </w:p>
    <w:p w14:paraId="7D127B0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32" w:firstLineChars="200"/>
        <w:textAlignment w:val="auto"/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  <w:t>坚守底线思维，加强政府债务监管</w:t>
      </w:r>
    </w:p>
    <w:p w14:paraId="7FAB099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32" w:firstLineChars="200"/>
        <w:textAlignment w:val="auto"/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一是牢固树立底线思维，</w:t>
      </w:r>
      <w:r>
        <w:rPr>
          <w:rFonts w:hint="eastAsia" w:ascii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增强</w:t>
      </w: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政府债务监管力度。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严格执行政府债务限额管理制度，完善常态化监测和风险评估预警，定期对债务监测平台数据进行更新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、测算，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确保数据真实完整准确。</w:t>
      </w: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二是化存量控增量，合理控制债务规模。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与金融机构多轮协商，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全年成功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展期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债务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5.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3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亿元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，通过借新还旧方式解决债务9.8亿元；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与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国开行、农发行等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银行谈判，通过降低利率减轻债务成本，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今年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减少利息支出约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1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亿元，有效缓解财政资金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紧张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。同时，仍在积极争取上级政府的隐性债务新政策支持，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已置换隐性债务20.4亿元。2025-2026年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上级将下达专项债券22亿元，用于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隐性债务置换，从而减轻我市的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债务还本压力。</w:t>
      </w:r>
    </w:p>
    <w:p w14:paraId="7EC6A292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right="0" w:firstLine="420"/>
        <w:jc w:val="both"/>
        <w:textAlignment w:val="auto"/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32"/>
          <w:szCs w:val="32"/>
          <w:highlight w:val="none"/>
          <w:lang w:val="en-US" w:eastAsia="zh-CN" w:bidi="ar-SA"/>
        </w:rPr>
        <w:t>（四）深化财政体制改革，提升财政管理效能</w:t>
      </w:r>
    </w:p>
    <w:p w14:paraId="31D02D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2" w:firstLineChars="200"/>
        <w:textAlignment w:val="auto"/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一是深化财政体制改革，进一步完善预算管理制度。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为贯彻落实《辽宁省人民政府关于推进省以下财政体制改革的实施意见》，推动“乡财县管”提质增效，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财政部门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积极响应，联合税务部门、人民银行分析研判，制定工作清单及任务分解表，倒排工期，挂图作战，科学预测工作难点堵点，做好关键时间节点具体工作安排，顺利完成乡镇街道金库撤销及业务划转工作，确保撤库期间国库业务不断档、财税业务无在途、财政资金零风险，保障乡镇（街道）后续平稳有序运转。</w:t>
      </w: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二是加强大数据分析运用，打造数字财政运行监控平台。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充分利用财政大数据分析，深化预算管理一体化系统业务集成整合，梳理财政业务流、数据流和资金流，对收入运行、预算编制、预算执行、实时支付等进行多维度可视化监测，实现财政运行实时监控、多维展示、风险识别和预警纠偏，全面提升预算管理的规范化、科学化水平。</w:t>
      </w: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三是强化预算绩效监督管理，建立健全绩效评价和监督制度。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个年度预算项目纳入绩效目标管理范围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审核后的绩效目标作为预算执行和事后绩效评价的参考依据，提高绩效目标管理的严谨性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；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全面检查全市172家预算单位380条预算公开信息，并抽查2家预算单位年度会计基础工作和内控制度建立执行情况，进一步提升财政监督管理水平，发挥财政监管职能。</w:t>
      </w:r>
      <w:r>
        <w:rPr>
          <w:rFonts w:hint="eastAsia" w:ascii="仿宋_GB2312" w:hAnsi="Calibri" w:eastAsia="仿宋_GB2312" w:cs="Calibri"/>
          <w:b/>
          <w:bCs/>
          <w:kern w:val="2"/>
          <w:sz w:val="32"/>
          <w:szCs w:val="32"/>
          <w:highlight w:val="none"/>
          <w:lang w:val="en-US" w:eastAsia="zh-CN" w:bidi="ar-SA"/>
        </w:rPr>
        <w:t>四是深化国资国企改革，扎实推进国有企业高质量发展。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国有资本布局不断优化，四大市属国有企业实现聚焦自然资源、海运仓储、农粮生产加工、金融投资等关键板块的深耕细作，企业活力进一步激发</w:t>
      </w:r>
      <w:r>
        <w:rPr>
          <w:rFonts w:hint="eastAsia" w:ascii="仿宋_GB2312" w:cs="Calibri"/>
          <w:kern w:val="2"/>
          <w:sz w:val="32"/>
          <w:szCs w:val="32"/>
          <w:highlight w:val="none"/>
          <w:lang w:val="en-US" w:eastAsia="zh-CN" w:bidi="ar-SA"/>
        </w:rPr>
        <w:t>；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以管资本为主的国有资产监管体制基本形成，修订印发了最新的国企监管制度文件《庄河市市属国有企业管理意见》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（庄委办发〔2024〕8号）</w:t>
      </w:r>
      <w:r>
        <w:rPr>
          <w:rFonts w:hint="eastAsia" w:ascii="仿宋_GB2312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，并推动市属国有企业出台资产交易相关制度。</w:t>
      </w:r>
    </w:p>
    <w:p w14:paraId="399DCE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32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各位代表，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过去的一年全市上下齐心协力、攻坚克难，努力保持我市财政逆势增长、平稳运行。同时，我们也清醒地认识到，财政运行中还存在很多亟待破解的难题：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一是财政收支矛盾突出。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我市可用财力十分紧张，明年及今后一段时期，财政将面临前所未有的巨大压力，争取政策性资金与挖掘内生潜力的能力和水平仍需要进一步提升。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二是政府偿债压力巨大。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在综合财力未有明显增加的情况下</w:t>
      </w:r>
      <w:r>
        <w:rPr>
          <w:rFonts w:hint="eastAsia" w:ascii="仿宋_GB2312" w:hAnsi="仿宋_GB2312" w:cs="仿宋_GB2312"/>
          <w:kern w:val="0"/>
          <w:sz w:val="32"/>
          <w:szCs w:val="32"/>
          <w:highlight w:val="none"/>
          <w:lang w:val="en-US" w:eastAsia="zh-CN" w:bidi="ar-SA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-SA"/>
        </w:rPr>
        <w:t>到期需偿还的债券本息额度居高不下，已临近我市财政运行的极限，偿债压力不容小觑。对此，我们将高度重视，认真研究，切实采取针对性的有效措施，努力加以解决。</w:t>
      </w:r>
    </w:p>
    <w:p w14:paraId="421840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23" w:firstLineChars="197"/>
        <w:textAlignment w:val="auto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三、202</w:t>
      </w:r>
      <w:r>
        <w:rPr>
          <w:rFonts w:hint="eastAsia" w:ascii="黑体" w:hAnsi="黑体" w:eastAsia="黑体" w:cs="黑体"/>
          <w:lang w:val="en-US" w:eastAsia="zh-CN"/>
        </w:rPr>
        <w:t>5</w:t>
      </w:r>
      <w:r>
        <w:rPr>
          <w:rFonts w:hint="eastAsia" w:ascii="黑体" w:hAnsi="黑体" w:eastAsia="黑体" w:cs="黑体"/>
        </w:rPr>
        <w:t>年预算草案</w:t>
      </w:r>
    </w:p>
    <w:p w14:paraId="721768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32" w:firstLineChars="200"/>
        <w:textAlignment w:val="auto"/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>我市2025年预算编制的指导思想是：坚持以习近平新时代中国特色社会主义思想为指导，全面深入贯彻党的二十大和二十届二中、三中全会精神，坚决落实中央经济工作会议精神及省委省政府、大连市委市政府相关决策部署，坚持党政机关习惯过“紧日子”，厉行节约办一切事业，严控一般性支出；深入实施零基预算，加大财政资源统筹力度，持续优化支出结构，强化国家重大战略任务以及省、市决策部署财力保障；深化预算绩效管理，扎实推进财政各项改革，努力提高财政管理法治化、科学化、规范化水平，促进我市经济社会持续健康发展。</w:t>
      </w:r>
    </w:p>
    <w:p w14:paraId="7984AB9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32" w:firstLineChars="200"/>
        <w:textAlignment w:val="auto"/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>遵循上述指导思想，按照兜牢兜实“三保”底线和防范化解债务风险的工作要求，我市2025年预算编制的基本原则是：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一是统筹兼顾，突出重点。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>科学合理准确细致编制年度收入预算，在预算确定的收入规模内安排年度支出预算，支出预算优先编制“三保”项目和政府债务还本付息项目，保障财政运行安全和社会稳定。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二是厉行节约，优化支出。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>继续严控“三公”经费、会议费、培训费等一般性支出规模，努力降低行政运行成本，坚决取消不必要的支出，建立节约型财政保障机制。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三是注重绩效，强化管理。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>逐步建立财政运行情况综合绩效管理模式，落实绩效管理的主体责任，将绩效理念和方法融入预算编制、执行、监督的全过程。</w:t>
      </w:r>
      <w:r>
        <w:rPr>
          <w:rFonts w:hint="eastAsia" w:ascii="仿宋_GB2312" w:hAnsi="仿宋_GB2312" w:cs="仿宋_GB2312"/>
          <w:b/>
          <w:bCs/>
          <w:sz w:val="32"/>
          <w:szCs w:val="32"/>
          <w:highlight w:val="none"/>
          <w:lang w:val="en-US" w:eastAsia="zh-CN"/>
        </w:rPr>
        <w:t>四是强化监督，提升效能。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highlight w:val="none"/>
          <w:lang w:val="en-US" w:eastAsia="zh-CN"/>
        </w:rPr>
        <w:t>构建财会监督体系，强化对预算执行的监督，充分考虑财政可承受能力、从源头上控制新增债务，遵照“花钱必问效，无效必问责”的原则，确保财政资金支出精准有效。</w:t>
      </w:r>
    </w:p>
    <w:p w14:paraId="64BEDA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32" w:firstLineChars="200"/>
        <w:textAlignment w:val="auto"/>
        <w:rPr>
          <w:rFonts w:ascii="楷体_GB2312" w:hAnsi="仿宋_GB2312" w:eastAsia="楷体_GB2312" w:cs="仿宋_GB2312"/>
          <w:bCs/>
          <w:highlight w:val="none"/>
        </w:rPr>
      </w:pPr>
      <w:r>
        <w:rPr>
          <w:rFonts w:hint="eastAsia" w:ascii="楷体_GB2312" w:hAnsi="仿宋_GB2312" w:eastAsia="楷体_GB2312" w:cs="仿宋_GB2312"/>
          <w:bCs/>
          <w:highlight w:val="none"/>
        </w:rPr>
        <w:t>（一）一般公共预算</w:t>
      </w:r>
    </w:p>
    <w:p w14:paraId="007591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3" w:firstLineChars="197"/>
        <w:textAlignment w:val="auto"/>
        <w:rPr>
          <w:rFonts w:hint="eastAsia" w:ascii="仿宋_GB2312" w:hAnsi="仿宋_GB2312" w:eastAsia="仿宋_GB2312" w:cs="仿宋_GB2312"/>
          <w:b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highlight w:val="none"/>
        </w:rPr>
        <w:t>1</w:t>
      </w:r>
      <w:r>
        <w:rPr>
          <w:rFonts w:hint="eastAsia" w:ascii="仿宋_GB2312" w:hAnsi="仿宋_GB2312" w:eastAsia="仿宋_GB2312" w:cs="仿宋_GB2312"/>
          <w:b/>
          <w:bCs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highlight w:val="none"/>
        </w:rPr>
        <w:t>全市一般公共预算</w:t>
      </w:r>
    </w:p>
    <w:p w14:paraId="2A8A29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0" w:firstLineChars="196"/>
        <w:textAlignment w:val="auto"/>
        <w:rPr>
          <w:rFonts w:hint="eastAsia"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highlight w:val="none"/>
        </w:rPr>
        <w:t>全市一般公共预算收入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5</w:t>
      </w:r>
      <w:r>
        <w:rPr>
          <w:rFonts w:hint="eastAsia" w:ascii="仿宋_GB2312" w:hAnsi="仿宋_GB2312" w:cs="仿宋_GB2312"/>
          <w:highlight w:val="none"/>
        </w:rPr>
        <w:t>5</w:t>
      </w:r>
      <w:r>
        <w:rPr>
          <w:rFonts w:hint="eastAsia" w:ascii="仿宋_GB2312" w:hAnsi="仿宋_GB2312" w:cs="仿宋_GB2312"/>
          <w:highlight w:val="none"/>
          <w:lang w:val="en-US" w:eastAsia="zh-CN"/>
        </w:rPr>
        <w:t>0</w:t>
      </w:r>
      <w:r>
        <w:rPr>
          <w:rFonts w:hint="eastAsia" w:ascii="仿宋_GB2312" w:hAnsi="仿宋_GB2312" w:cs="仿宋_GB2312"/>
          <w:highlight w:val="none"/>
        </w:rPr>
        <w:t>,0</w:t>
      </w:r>
      <w:r>
        <w:rPr>
          <w:rFonts w:hint="eastAsia" w:ascii="仿宋_GB2312" w:hAnsi="仿宋_GB2312" w:cs="仿宋_GB2312"/>
          <w:highlight w:val="none"/>
          <w:lang w:val="en-US" w:eastAsia="zh-CN"/>
        </w:rPr>
        <w:t>88</w:t>
      </w:r>
      <w:r>
        <w:rPr>
          <w:rFonts w:hint="eastAsia" w:ascii="仿宋_GB2312" w:hAnsi="仿宋_GB2312" w:cs="仿宋_GB2312"/>
          <w:highlight w:val="none"/>
        </w:rPr>
        <w:t>万元</w:t>
      </w:r>
      <w:r>
        <w:rPr>
          <w:rFonts w:hint="eastAsia" w:ascii="仿宋_GB2312" w:hAnsi="仿宋_GB2312" w:cs="仿宋_GB231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highlight w:val="none"/>
        </w:rPr>
        <w:t>其中：税收收入2</w:t>
      </w:r>
      <w:r>
        <w:rPr>
          <w:rFonts w:hint="eastAsia" w:ascii="仿宋_GB2312" w:hAnsi="仿宋_GB2312" w:cs="仿宋_GB2312"/>
          <w:highlight w:val="none"/>
          <w:lang w:val="en-US" w:eastAsia="zh-CN"/>
        </w:rPr>
        <w:t>02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713</w:t>
      </w:r>
      <w:r>
        <w:rPr>
          <w:rFonts w:hint="eastAsia" w:ascii="仿宋_GB2312" w:hAnsi="仿宋_GB2312" w:cs="仿宋_GB2312"/>
          <w:highlight w:val="none"/>
        </w:rPr>
        <w:t>万元；非税收入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347,375</w:t>
      </w:r>
      <w:r>
        <w:rPr>
          <w:rFonts w:hint="eastAsia" w:ascii="仿宋_GB2312" w:hAnsi="仿宋_GB2312" w:cs="仿宋_GB2312"/>
          <w:highlight w:val="none"/>
        </w:rPr>
        <w:t>万元。当年这一收入，加上上级转移支付收入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246,517</w:t>
      </w:r>
      <w:r>
        <w:rPr>
          <w:rFonts w:hint="eastAsia" w:ascii="仿宋_GB2312" w:hAnsi="仿宋_GB2312" w:cs="仿宋_GB2312"/>
          <w:highlight w:val="none"/>
        </w:rPr>
        <w:t>万元、</w:t>
      </w:r>
      <w:r>
        <w:rPr>
          <w:rFonts w:hint="eastAsia" w:ascii="仿宋_GB2312" w:hAnsi="仿宋_GB2312" w:cs="仿宋_GB2312"/>
          <w:highlight w:val="none"/>
          <w:lang w:eastAsia="zh-CN"/>
        </w:rPr>
        <w:t>动用</w:t>
      </w:r>
      <w:r>
        <w:rPr>
          <w:rFonts w:hint="eastAsia" w:ascii="仿宋_GB2312" w:hAnsi="仿宋_GB2312" w:cs="仿宋_GB2312"/>
          <w:highlight w:val="none"/>
        </w:rPr>
        <w:t>预算稳定调节基金</w:t>
      </w:r>
      <w:r>
        <w:rPr>
          <w:rFonts w:hint="eastAsia" w:ascii="仿宋_GB2312" w:hAnsi="仿宋_GB2312" w:cs="仿宋_GB2312"/>
          <w:highlight w:val="none"/>
          <w:lang w:val="en-US" w:eastAsia="zh-CN"/>
        </w:rPr>
        <w:t>861</w:t>
      </w:r>
      <w:r>
        <w:rPr>
          <w:rFonts w:hint="eastAsia" w:ascii="仿宋_GB2312" w:hAnsi="仿宋_GB2312" w:cs="仿宋_GB2312"/>
          <w:highlight w:val="none"/>
        </w:rPr>
        <w:t>万元、调入国有资本经营预算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166</w:t>
      </w:r>
      <w:r>
        <w:rPr>
          <w:rFonts w:hint="eastAsia" w:ascii="仿宋_GB2312" w:hAnsi="仿宋_GB2312" w:cs="仿宋_GB2312"/>
          <w:highlight w:val="none"/>
        </w:rPr>
        <w:t>万元，全市一般公共预算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收入为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797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632</w:t>
      </w:r>
      <w:r>
        <w:rPr>
          <w:rFonts w:hint="eastAsia" w:ascii="仿宋_GB2312" w:hAnsi="仿宋_GB2312" w:cs="仿宋_GB2312"/>
          <w:highlight w:val="none"/>
        </w:rPr>
        <w:t>万元。</w:t>
      </w:r>
    </w:p>
    <w:p w14:paraId="33304C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32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cs="仿宋_GB2312"/>
          <w:highlight w:val="none"/>
        </w:rPr>
        <w:t>全市一般公共预算支出7</w:t>
      </w:r>
      <w:r>
        <w:rPr>
          <w:rFonts w:hint="eastAsia" w:ascii="仿宋_GB2312" w:hAnsi="仿宋_GB2312" w:cs="仿宋_GB2312"/>
          <w:highlight w:val="none"/>
          <w:lang w:val="en-US" w:eastAsia="zh-CN"/>
        </w:rPr>
        <w:t>12,562</w:t>
      </w:r>
      <w:r>
        <w:rPr>
          <w:rFonts w:hint="eastAsia" w:ascii="仿宋_GB2312" w:hAnsi="仿宋_GB2312" w:cs="仿宋_GB2312"/>
          <w:highlight w:val="none"/>
        </w:rPr>
        <w:t>万元，加上地方政府一般债务还本支出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14,070</w:t>
      </w:r>
      <w:r>
        <w:rPr>
          <w:rFonts w:hint="eastAsia" w:ascii="仿宋_GB2312" w:hAnsi="仿宋_GB2312" w:cs="仿宋_GB2312"/>
          <w:highlight w:val="none"/>
        </w:rPr>
        <w:t>万元、上解上级支出6</w:t>
      </w:r>
      <w:r>
        <w:rPr>
          <w:rFonts w:hint="eastAsia" w:ascii="仿宋_GB2312" w:hAnsi="仿宋_GB2312" w:cs="仿宋_GB231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highlight w:val="none"/>
        </w:rPr>
        <w:t>,000万元</w:t>
      </w:r>
      <w:r>
        <w:rPr>
          <w:rFonts w:hint="eastAsia" w:ascii="仿宋_GB2312" w:hAnsi="仿宋_GB2312" w:cs="仿宋_GB2312"/>
          <w:highlight w:val="none"/>
          <w:lang w:eastAsia="zh-CN"/>
        </w:rPr>
        <w:t>、</w:t>
      </w:r>
      <w:r>
        <w:rPr>
          <w:rFonts w:hint="eastAsia" w:ascii="仿宋_GB2312" w:hAnsi="仿宋_GB2312" w:cs="仿宋_GB2312"/>
          <w:highlight w:val="none"/>
          <w:lang w:val="en-US" w:eastAsia="zh-CN"/>
        </w:rPr>
        <w:t>调出资金10,000万元，</w:t>
      </w:r>
      <w:r>
        <w:rPr>
          <w:rFonts w:hint="eastAsia" w:ascii="仿宋_GB2312" w:hAnsi="仿宋_GB2312" w:cs="仿宋_GB2312"/>
          <w:highlight w:val="none"/>
        </w:rPr>
        <w:t>全市一般公共预算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支出为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797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632</w:t>
      </w:r>
      <w:r>
        <w:rPr>
          <w:rFonts w:hint="eastAsia" w:ascii="仿宋_GB2312" w:hAnsi="仿宋_GB2312" w:cs="仿宋_GB2312"/>
          <w:highlight w:val="none"/>
        </w:rPr>
        <w:t>万元。收支相抵，预算平衡。</w:t>
      </w:r>
    </w:p>
    <w:p w14:paraId="431B74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3" w:firstLineChars="197"/>
        <w:textAlignment w:val="auto"/>
        <w:rPr>
          <w:rFonts w:hint="eastAsia" w:ascii="仿宋_GB2312" w:hAnsi="仿宋_GB2312" w:eastAsia="仿宋_GB2312" w:cs="仿宋_GB2312"/>
          <w:b/>
          <w:bCs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highlight w:val="none"/>
        </w:rPr>
        <w:t>2</w:t>
      </w:r>
      <w:r>
        <w:rPr>
          <w:rFonts w:hint="eastAsia" w:ascii="仿宋_GB2312" w:hAnsi="仿宋_GB2312" w:eastAsia="仿宋_GB2312" w:cs="仿宋_GB2312"/>
          <w:b/>
          <w:bCs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highlight w:val="none"/>
        </w:rPr>
        <w:t>市本级一般公共预算</w:t>
      </w:r>
    </w:p>
    <w:p w14:paraId="6C84E6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0" w:firstLineChars="196"/>
        <w:textAlignment w:val="auto"/>
        <w:rPr>
          <w:rFonts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highlight w:val="none"/>
          <w:lang w:val="en-US" w:eastAsia="zh-CN"/>
        </w:rPr>
        <w:t>市本级</w:t>
      </w:r>
      <w:r>
        <w:rPr>
          <w:rFonts w:hint="eastAsia" w:ascii="仿宋_GB2312" w:hAnsi="仿宋_GB2312" w:cs="仿宋_GB2312"/>
          <w:highlight w:val="none"/>
        </w:rPr>
        <w:t>一般公共预算收入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398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464</w:t>
      </w:r>
      <w:r>
        <w:rPr>
          <w:rFonts w:hint="eastAsia" w:ascii="仿宋_GB2312" w:hAnsi="仿宋_GB2312" w:cs="仿宋_GB2312"/>
          <w:highlight w:val="none"/>
        </w:rPr>
        <w:t>万元，其中：税收收入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65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384</w:t>
      </w:r>
      <w:r>
        <w:rPr>
          <w:rFonts w:hint="eastAsia" w:ascii="仿宋_GB2312" w:hAnsi="仿宋_GB2312" w:cs="仿宋_GB2312"/>
          <w:highlight w:val="none"/>
        </w:rPr>
        <w:t>万元；非税收入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333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080</w:t>
      </w:r>
      <w:r>
        <w:rPr>
          <w:rFonts w:hint="eastAsia" w:ascii="仿宋_GB2312" w:hAnsi="仿宋_GB2312" w:cs="仿宋_GB2312"/>
          <w:highlight w:val="none"/>
        </w:rPr>
        <w:t>万元。当年这一收入，加上上级转移支付收入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246,517</w:t>
      </w:r>
      <w:r>
        <w:rPr>
          <w:rFonts w:hint="eastAsia" w:ascii="仿宋_GB2312" w:hAnsi="仿宋_GB2312" w:cs="仿宋_GB2312"/>
          <w:highlight w:val="none"/>
        </w:rPr>
        <w:t>万元、</w:t>
      </w:r>
      <w:r>
        <w:rPr>
          <w:rFonts w:hint="eastAsia" w:ascii="仿宋_GB2312" w:hAnsi="仿宋_GB2312" w:cs="仿宋_GB2312"/>
          <w:highlight w:val="none"/>
          <w:lang w:eastAsia="zh-CN"/>
        </w:rPr>
        <w:t>下级上解收入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33,042万元、</w:t>
      </w:r>
      <w:r>
        <w:rPr>
          <w:rFonts w:hint="eastAsia" w:ascii="仿宋_GB2312" w:hAnsi="仿宋_GB2312" w:cs="仿宋_GB2312"/>
          <w:highlight w:val="none"/>
        </w:rPr>
        <w:t>调入国有资本经营预算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166</w:t>
      </w:r>
      <w:r>
        <w:rPr>
          <w:rFonts w:hint="eastAsia" w:ascii="仿宋_GB2312" w:hAnsi="仿宋_GB2312" w:cs="仿宋_GB2312"/>
          <w:highlight w:val="none"/>
        </w:rPr>
        <w:t>万元，市本级一般公共预算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收入为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678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189</w:t>
      </w:r>
      <w:r>
        <w:rPr>
          <w:rFonts w:hint="eastAsia" w:ascii="仿宋_GB2312" w:hAnsi="仿宋_GB2312" w:cs="仿宋_GB2312"/>
          <w:highlight w:val="none"/>
        </w:rPr>
        <w:t>万元。</w:t>
      </w:r>
    </w:p>
    <w:p w14:paraId="6870DB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0" w:firstLineChars="196"/>
        <w:textAlignment w:val="auto"/>
        <w:rPr>
          <w:rFonts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highlight w:val="none"/>
        </w:rPr>
        <w:t>市本级一般公共预算支出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576,703</w:t>
      </w:r>
      <w:r>
        <w:rPr>
          <w:rFonts w:hint="eastAsia" w:ascii="仿宋_GB2312" w:hAnsi="仿宋_GB2312" w:cs="仿宋_GB2312"/>
          <w:highlight w:val="none"/>
        </w:rPr>
        <w:t>万元</w:t>
      </w:r>
      <w:r>
        <w:rPr>
          <w:rFonts w:hint="eastAsia" w:ascii="仿宋_GB2312" w:hAnsi="仿宋_GB2312" w:cs="仿宋_GB231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highlight w:val="none"/>
        </w:rPr>
        <w:t>当年这一支出，加上地方政府一般债务还本支出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14,070</w:t>
      </w:r>
      <w:r>
        <w:rPr>
          <w:rFonts w:hint="eastAsia" w:ascii="仿宋_GB2312" w:hAnsi="仿宋_GB2312" w:cs="仿宋_GB2312"/>
          <w:highlight w:val="none"/>
        </w:rPr>
        <w:t>万元、上解上级支出6</w:t>
      </w:r>
      <w:r>
        <w:rPr>
          <w:rFonts w:hint="eastAsia" w:ascii="仿宋_GB2312" w:hAnsi="仿宋_GB2312" w:cs="仿宋_GB231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highlight w:val="none"/>
        </w:rPr>
        <w:t>,000万元</w:t>
      </w:r>
      <w:r>
        <w:rPr>
          <w:rFonts w:hint="eastAsia" w:ascii="仿宋_GB2312" w:hAnsi="仿宋_GB2312" w:cs="仿宋_GB2312"/>
          <w:highlight w:val="none"/>
          <w:lang w:eastAsia="zh-CN"/>
        </w:rPr>
        <w:t>、补助下级支出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16,416万元、调出资金10,000万元</w:t>
      </w:r>
      <w:r>
        <w:rPr>
          <w:rFonts w:hint="eastAsia" w:ascii="仿宋_GB2312" w:hAnsi="仿宋_GB2312" w:cs="仿宋_GB2312"/>
          <w:highlight w:val="none"/>
        </w:rPr>
        <w:t>，市本级一般公共预算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支出为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67</w:t>
      </w:r>
      <w:r>
        <w:rPr>
          <w:rFonts w:hint="eastAsia" w:ascii="仿宋_GB2312" w:hAnsi="仿宋_GB2312" w:cs="仿宋_GB2312"/>
          <w:highlight w:val="none"/>
        </w:rPr>
        <w:t>8,</w:t>
      </w:r>
      <w:r>
        <w:rPr>
          <w:rFonts w:hint="eastAsia" w:ascii="仿宋_GB2312" w:hAnsi="仿宋_GB2312" w:cs="仿宋_GB231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highlight w:val="none"/>
        </w:rPr>
        <w:t>89万元。收支相抵，预算平衡。</w:t>
      </w:r>
    </w:p>
    <w:p w14:paraId="3161A5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3" w:firstLineChars="197"/>
        <w:textAlignment w:val="auto"/>
        <w:rPr>
          <w:rFonts w:hint="eastAsia" w:ascii="仿宋_GB2312" w:hAnsi="仿宋_GB2312" w:eastAsia="仿宋_GB2312" w:cs="仿宋_GB2312"/>
          <w:b/>
          <w:bCs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highlight w:val="none"/>
        </w:rPr>
        <w:t>北黄海经开区和各街道的一般公共预算</w:t>
      </w:r>
    </w:p>
    <w:p w14:paraId="08B5B71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0" w:firstLineChars="196"/>
        <w:textAlignment w:val="auto"/>
        <w:rPr>
          <w:rFonts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highlight w:val="none"/>
        </w:rPr>
        <w:t>（1）北黄海经开区一般公共预算收入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38</w:t>
      </w:r>
      <w:r>
        <w:rPr>
          <w:rFonts w:hint="eastAsia" w:ascii="仿宋_GB2312" w:hAnsi="仿宋_GB2312" w:cs="仿宋_GB2312"/>
          <w:highlight w:val="none"/>
        </w:rPr>
        <w:t>,000万元；</w:t>
      </w:r>
      <w:r>
        <w:rPr>
          <w:rFonts w:hint="eastAsia" w:ascii="仿宋_GB2312" w:hAnsi="仿宋_GB2312" w:cs="仿宋_GB2312"/>
          <w:highlight w:val="none"/>
          <w:lang w:val="en-US" w:eastAsia="zh-CN"/>
        </w:rPr>
        <w:t>北黄海经开区</w:t>
      </w:r>
      <w:r>
        <w:rPr>
          <w:rFonts w:hint="eastAsia" w:ascii="仿宋_GB2312" w:hAnsi="仿宋_GB2312" w:cs="仿宋_GB2312"/>
          <w:highlight w:val="none"/>
        </w:rPr>
        <w:t>一般公共预算支出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25</w:t>
      </w:r>
      <w:r>
        <w:rPr>
          <w:rFonts w:hint="eastAsia" w:ascii="仿宋_GB2312" w:hAnsi="仿宋_GB2312" w:cs="仿宋_GB2312"/>
          <w:highlight w:val="none"/>
        </w:rPr>
        <w:t>,537万元，加上上解上级支出12,463万元，北黄海经开区一般公共预算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支出为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38</w:t>
      </w:r>
      <w:r>
        <w:rPr>
          <w:rFonts w:hint="eastAsia" w:ascii="仿宋_GB2312" w:hAnsi="仿宋_GB2312" w:cs="仿宋_GB2312"/>
          <w:highlight w:val="none"/>
        </w:rPr>
        <w:t>,000万元。收支相抵，预算平衡。</w:t>
      </w:r>
    </w:p>
    <w:p w14:paraId="7D1D29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0" w:firstLineChars="196"/>
        <w:textAlignment w:val="auto"/>
        <w:rPr>
          <w:rFonts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highlight w:val="none"/>
        </w:rPr>
        <w:t>（2）城关街道一般公共预算收入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5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645</w:t>
      </w:r>
      <w:r>
        <w:rPr>
          <w:rFonts w:hint="eastAsia" w:ascii="仿宋_GB2312" w:hAnsi="仿宋_GB2312" w:cs="仿宋_GB2312"/>
          <w:highlight w:val="none"/>
        </w:rPr>
        <w:t>万元，加上上级补助收入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1,635</w:t>
      </w:r>
      <w:r>
        <w:rPr>
          <w:rFonts w:hint="eastAsia" w:ascii="仿宋_GB2312" w:hAnsi="仿宋_GB2312" w:cs="仿宋_GB2312"/>
          <w:highlight w:val="none"/>
        </w:rPr>
        <w:t>万元、动用预算稳定调节基金</w:t>
      </w:r>
      <w:r>
        <w:rPr>
          <w:rFonts w:hint="eastAsia" w:ascii="仿宋_GB2312" w:hAnsi="仿宋_GB2312" w:cs="仿宋_GB2312"/>
          <w:highlight w:val="none"/>
          <w:lang w:val="en-US" w:eastAsia="zh-CN"/>
        </w:rPr>
        <w:t>30</w:t>
      </w:r>
      <w:r>
        <w:rPr>
          <w:rFonts w:hint="eastAsia" w:ascii="仿宋_GB2312" w:hAnsi="仿宋_GB2312" w:cs="仿宋_GB2312"/>
          <w:highlight w:val="none"/>
        </w:rPr>
        <w:t>3万元，城关街道一般公共预算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收入为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7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583</w:t>
      </w:r>
      <w:r>
        <w:rPr>
          <w:rFonts w:hint="eastAsia" w:ascii="仿宋_GB2312" w:hAnsi="仿宋_GB2312" w:cs="仿宋_GB2312"/>
          <w:highlight w:val="none"/>
        </w:rPr>
        <w:t>万元；城关街道一般公共预算支出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237</w:t>
      </w:r>
      <w:r>
        <w:rPr>
          <w:rFonts w:hint="eastAsia" w:ascii="仿宋_GB2312" w:hAnsi="仿宋_GB2312" w:cs="仿宋_GB2312"/>
          <w:highlight w:val="none"/>
        </w:rPr>
        <w:t>万元，加上上解上级支出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346</w:t>
      </w:r>
      <w:r>
        <w:rPr>
          <w:rFonts w:hint="eastAsia" w:ascii="仿宋_GB2312" w:hAnsi="仿宋_GB2312" w:cs="仿宋_GB2312"/>
          <w:highlight w:val="none"/>
        </w:rPr>
        <w:t>万元，城关街道一般公共预算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总支出</w:t>
      </w:r>
      <w:r>
        <w:rPr>
          <w:rFonts w:hint="eastAsia" w:ascii="仿宋_GB2312" w:hAnsi="仿宋_GB2312" w:cs="仿宋_GB2312"/>
          <w:highlight w:val="none"/>
        </w:rPr>
        <w:t>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7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583</w:t>
      </w:r>
      <w:r>
        <w:rPr>
          <w:rFonts w:hint="eastAsia" w:ascii="仿宋_GB2312" w:hAnsi="仿宋_GB2312" w:cs="仿宋_GB2312"/>
          <w:highlight w:val="none"/>
        </w:rPr>
        <w:t>万元。收支相抵，预算平衡。</w:t>
      </w:r>
    </w:p>
    <w:p w14:paraId="7F095D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0" w:firstLineChars="196"/>
        <w:textAlignment w:val="auto"/>
        <w:rPr>
          <w:rFonts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highlight w:val="none"/>
        </w:rPr>
        <w:t>（3）兴达街道一般公共预算收入3,</w:t>
      </w:r>
      <w:r>
        <w:rPr>
          <w:rFonts w:hint="eastAsia" w:ascii="仿宋_GB2312" w:hAnsi="仿宋_GB2312" w:cs="仿宋_GB2312"/>
          <w:highlight w:val="none"/>
          <w:lang w:val="en-US" w:eastAsia="zh-CN"/>
        </w:rPr>
        <w:t>356</w:t>
      </w:r>
      <w:r>
        <w:rPr>
          <w:rFonts w:hint="eastAsia" w:ascii="仿宋_GB2312" w:hAnsi="仿宋_GB2312" w:cs="仿宋_GB2312"/>
          <w:highlight w:val="none"/>
        </w:rPr>
        <w:t>万元，加上上级补助收入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510</w:t>
      </w:r>
      <w:r>
        <w:rPr>
          <w:rFonts w:hint="eastAsia" w:ascii="仿宋_GB2312" w:hAnsi="仿宋_GB2312" w:cs="仿宋_GB2312"/>
          <w:highlight w:val="none"/>
        </w:rPr>
        <w:t>万元,兴达街道一般公共预算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收入为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866</w:t>
      </w:r>
      <w:r>
        <w:rPr>
          <w:rFonts w:hint="eastAsia" w:ascii="仿宋_GB2312" w:hAnsi="仿宋_GB2312" w:cs="仿宋_GB2312"/>
          <w:highlight w:val="none"/>
        </w:rPr>
        <w:t>万元；兴达街道一般公共预算支出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416</w:t>
      </w:r>
      <w:r>
        <w:rPr>
          <w:rFonts w:hint="eastAsia" w:ascii="仿宋_GB2312" w:hAnsi="仿宋_GB2312" w:cs="仿宋_GB2312"/>
          <w:highlight w:val="none"/>
        </w:rPr>
        <w:t>万元，加上上解上级支出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1,450</w:t>
      </w:r>
      <w:r>
        <w:rPr>
          <w:rFonts w:hint="eastAsia" w:ascii="仿宋_GB2312" w:hAnsi="仿宋_GB2312" w:cs="仿宋_GB2312"/>
          <w:highlight w:val="none"/>
        </w:rPr>
        <w:t>万元，兴达街道一般公共预算总</w:t>
      </w:r>
      <w:r>
        <w:rPr>
          <w:rFonts w:hint="eastAsia" w:ascii="仿宋_GB2312" w:hAnsi="仿宋_GB2312" w:cs="仿宋_GB2312"/>
          <w:highlight w:val="none"/>
          <w:lang w:val="en-US" w:eastAsia="zh-CN"/>
        </w:rPr>
        <w:t>支出</w:t>
      </w:r>
      <w:r>
        <w:rPr>
          <w:rFonts w:hint="eastAsia" w:ascii="仿宋_GB2312" w:hAnsi="仿宋_GB2312" w:cs="仿宋_GB2312"/>
          <w:highlight w:val="none"/>
        </w:rPr>
        <w:t>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866</w:t>
      </w:r>
      <w:r>
        <w:rPr>
          <w:rFonts w:hint="eastAsia" w:ascii="仿宋_GB2312" w:hAnsi="仿宋_GB2312" w:cs="仿宋_GB2312"/>
          <w:highlight w:val="none"/>
        </w:rPr>
        <w:t>万元。收支相抵，预算平衡。</w:t>
      </w:r>
    </w:p>
    <w:p w14:paraId="389E32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0" w:firstLineChars="196"/>
        <w:textAlignment w:val="auto"/>
        <w:rPr>
          <w:rFonts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highlight w:val="none"/>
        </w:rPr>
        <w:t>（4）新华街道</w:t>
      </w:r>
      <w:r>
        <w:rPr>
          <w:rFonts w:hint="eastAsia" w:ascii="仿宋_GB2312" w:hAnsi="仿宋_GB2312" w:cs="仿宋_GB2312"/>
          <w:highlight w:val="none"/>
          <w:lang w:val="en-US" w:eastAsia="zh-CN"/>
        </w:rPr>
        <w:t>一般公共预算</w:t>
      </w:r>
      <w:r>
        <w:rPr>
          <w:rFonts w:hint="eastAsia" w:ascii="仿宋_GB2312" w:hAnsi="仿宋_GB2312" w:cs="仿宋_GB2312"/>
          <w:highlight w:val="none"/>
        </w:rPr>
        <w:t>收入3,</w:t>
      </w:r>
      <w:r>
        <w:rPr>
          <w:rFonts w:hint="eastAsia" w:ascii="仿宋_GB2312" w:hAnsi="仿宋_GB2312" w:cs="仿宋_GB2312"/>
          <w:highlight w:val="none"/>
          <w:lang w:val="en-US" w:eastAsia="zh-CN"/>
        </w:rPr>
        <w:t>788</w:t>
      </w:r>
      <w:r>
        <w:rPr>
          <w:rFonts w:hint="eastAsia" w:ascii="仿宋_GB2312" w:hAnsi="仿宋_GB2312" w:cs="仿宋_GB2312"/>
          <w:highlight w:val="none"/>
        </w:rPr>
        <w:t>万元，加上上级补助收入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942</w:t>
      </w:r>
      <w:r>
        <w:rPr>
          <w:rFonts w:hint="eastAsia" w:ascii="仿宋_GB2312" w:hAnsi="仿宋_GB2312" w:cs="仿宋_GB2312"/>
          <w:highlight w:val="none"/>
        </w:rPr>
        <w:t>万元，新华街道一般公共预算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收入为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730</w:t>
      </w:r>
      <w:r>
        <w:rPr>
          <w:rFonts w:hint="eastAsia" w:ascii="仿宋_GB2312" w:hAnsi="仿宋_GB2312" w:cs="仿宋_GB2312"/>
          <w:highlight w:val="none"/>
        </w:rPr>
        <w:t>万元；新华街道一般公共预算支出3,</w:t>
      </w:r>
      <w:r>
        <w:rPr>
          <w:rFonts w:hint="eastAsia" w:ascii="仿宋_GB2312" w:hAnsi="仿宋_GB2312" w:cs="仿宋_GB2312"/>
          <w:highlight w:val="none"/>
          <w:lang w:val="en-US" w:eastAsia="zh-CN"/>
        </w:rPr>
        <w:t>492</w:t>
      </w:r>
      <w:r>
        <w:rPr>
          <w:rFonts w:hint="eastAsia" w:ascii="仿宋_GB2312" w:hAnsi="仿宋_GB2312" w:cs="仿宋_GB2312"/>
          <w:highlight w:val="none"/>
        </w:rPr>
        <w:t>万元，加上上解上级支出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1,238</w:t>
      </w:r>
      <w:r>
        <w:rPr>
          <w:rFonts w:hint="eastAsia" w:ascii="仿宋_GB2312" w:hAnsi="仿宋_GB2312" w:cs="仿宋_GB2312"/>
          <w:highlight w:val="none"/>
        </w:rPr>
        <w:t>万元，新华街道一般公共预算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总支出</w:t>
      </w:r>
      <w:r>
        <w:rPr>
          <w:rFonts w:hint="eastAsia" w:ascii="仿宋_GB2312" w:hAnsi="仿宋_GB2312" w:cs="仿宋_GB2312"/>
          <w:highlight w:val="none"/>
        </w:rPr>
        <w:t>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730</w:t>
      </w:r>
      <w:r>
        <w:rPr>
          <w:rFonts w:hint="eastAsia" w:ascii="仿宋_GB2312" w:hAnsi="仿宋_GB2312" w:cs="仿宋_GB2312"/>
          <w:highlight w:val="none"/>
        </w:rPr>
        <w:t>万元。收支相抵，预算平衡。</w:t>
      </w:r>
    </w:p>
    <w:p w14:paraId="53CB43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0" w:firstLineChars="196"/>
        <w:textAlignment w:val="auto"/>
        <w:rPr>
          <w:rFonts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highlight w:val="none"/>
        </w:rPr>
        <w:t>（5）昌盛街道</w:t>
      </w:r>
      <w:r>
        <w:rPr>
          <w:rFonts w:hint="eastAsia" w:ascii="仿宋_GB2312" w:hAnsi="仿宋_GB2312" w:cs="仿宋_GB2312"/>
          <w:highlight w:val="none"/>
          <w:lang w:val="en-US" w:eastAsia="zh-CN"/>
        </w:rPr>
        <w:t>一般公共预算</w:t>
      </w:r>
      <w:r>
        <w:rPr>
          <w:rFonts w:hint="eastAsia" w:ascii="仿宋_GB2312" w:hAnsi="仿宋_GB2312" w:cs="仿宋_GB2312"/>
          <w:highlight w:val="none"/>
        </w:rPr>
        <w:t>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476</w:t>
      </w:r>
      <w:r>
        <w:rPr>
          <w:rFonts w:hint="eastAsia" w:ascii="仿宋_GB2312" w:hAnsi="仿宋_GB2312" w:cs="仿宋_GB2312"/>
          <w:highlight w:val="none"/>
        </w:rPr>
        <w:t>万元，加上上级补助收入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390</w:t>
      </w:r>
      <w:r>
        <w:rPr>
          <w:rFonts w:hint="eastAsia" w:ascii="仿宋_GB2312" w:hAnsi="仿宋_GB2312" w:cs="仿宋_GB2312"/>
          <w:highlight w:val="none"/>
        </w:rPr>
        <w:t>万元、</w:t>
      </w:r>
      <w:r>
        <w:rPr>
          <w:rFonts w:hint="eastAsia" w:ascii="仿宋_GB2312" w:hAnsi="仿宋_GB2312" w:cs="仿宋_GB2312"/>
          <w:highlight w:val="none"/>
          <w:lang w:eastAsia="zh-CN"/>
        </w:rPr>
        <w:t>动用预算稳定调节基金</w:t>
      </w:r>
      <w:r>
        <w:rPr>
          <w:rFonts w:hint="eastAsia" w:ascii="仿宋_GB2312" w:hAnsi="仿宋_GB2312" w:cs="仿宋_GB2312"/>
          <w:highlight w:val="none"/>
          <w:lang w:val="en-US" w:eastAsia="zh-CN"/>
        </w:rPr>
        <w:t>558</w:t>
      </w:r>
      <w:r>
        <w:rPr>
          <w:rFonts w:hint="eastAsia" w:ascii="仿宋_GB2312" w:hAnsi="仿宋_GB2312" w:cs="仿宋_GB2312"/>
          <w:highlight w:val="none"/>
        </w:rPr>
        <w:t>万元，昌盛街道一般公共预算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收入为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424</w:t>
      </w:r>
      <w:r>
        <w:rPr>
          <w:rFonts w:hint="eastAsia" w:ascii="仿宋_GB2312" w:hAnsi="仿宋_GB2312" w:cs="仿宋_GB2312"/>
          <w:highlight w:val="none"/>
        </w:rPr>
        <w:t>万元；昌盛街道一般公共预算支出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325</w:t>
      </w:r>
      <w:r>
        <w:rPr>
          <w:rFonts w:hint="eastAsia" w:ascii="仿宋_GB2312" w:hAnsi="仿宋_GB2312" w:cs="仿宋_GB2312"/>
          <w:highlight w:val="none"/>
        </w:rPr>
        <w:t>万元，加上上解上级支出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1,099</w:t>
      </w:r>
      <w:r>
        <w:rPr>
          <w:rFonts w:hint="eastAsia" w:ascii="仿宋_GB2312" w:hAnsi="仿宋_GB2312" w:cs="仿宋_GB2312"/>
          <w:highlight w:val="none"/>
        </w:rPr>
        <w:t>万元，昌盛街道一般公共预算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总支出</w:t>
      </w:r>
      <w:r>
        <w:rPr>
          <w:rFonts w:hint="eastAsia" w:ascii="仿宋_GB2312" w:hAnsi="仿宋_GB2312" w:cs="仿宋_GB2312"/>
          <w:highlight w:val="none"/>
        </w:rPr>
        <w:t>为</w:t>
      </w:r>
      <w:r>
        <w:rPr>
          <w:rFonts w:hint="eastAsia" w:ascii="仿宋_GB2312" w:hAnsi="仿宋_GB2312" w:cs="仿宋_GB231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424</w:t>
      </w:r>
      <w:r>
        <w:rPr>
          <w:rFonts w:hint="eastAsia" w:ascii="仿宋_GB2312" w:hAnsi="仿宋_GB2312" w:cs="仿宋_GB2312"/>
          <w:highlight w:val="none"/>
        </w:rPr>
        <w:t>万元。收支相抵，预算平衡。</w:t>
      </w:r>
    </w:p>
    <w:p w14:paraId="185071C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0" w:firstLineChars="196"/>
        <w:textAlignment w:val="auto"/>
        <w:rPr>
          <w:rFonts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highlight w:val="none"/>
        </w:rPr>
        <w:t>（6）明阳街道</w:t>
      </w:r>
      <w:r>
        <w:rPr>
          <w:rFonts w:hint="eastAsia" w:ascii="仿宋_GB2312" w:hAnsi="仿宋_GB2312" w:cs="仿宋_GB2312"/>
          <w:highlight w:val="none"/>
          <w:lang w:val="en-US" w:eastAsia="zh-CN"/>
        </w:rPr>
        <w:t>一般公共预算</w:t>
      </w:r>
      <w:r>
        <w:rPr>
          <w:rFonts w:hint="eastAsia" w:ascii="仿宋_GB2312" w:hAnsi="仿宋_GB2312" w:cs="仿宋_GB2312"/>
          <w:highlight w:val="none"/>
        </w:rPr>
        <w:t>收入4,</w:t>
      </w:r>
      <w:r>
        <w:rPr>
          <w:rFonts w:hint="eastAsia" w:ascii="仿宋_GB2312" w:hAnsi="仿宋_GB2312" w:cs="仿宋_GB2312"/>
          <w:highlight w:val="none"/>
          <w:lang w:val="en-US" w:eastAsia="zh-CN"/>
        </w:rPr>
        <w:t>642</w:t>
      </w:r>
      <w:r>
        <w:rPr>
          <w:rFonts w:hint="eastAsia" w:ascii="仿宋_GB2312" w:hAnsi="仿宋_GB2312" w:cs="仿宋_GB2312"/>
          <w:highlight w:val="none"/>
        </w:rPr>
        <w:t>万元，加上上级补助收入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549</w:t>
      </w:r>
      <w:r>
        <w:rPr>
          <w:rFonts w:hint="eastAsia" w:ascii="仿宋_GB2312" w:hAnsi="仿宋_GB2312" w:cs="仿宋_GB2312"/>
          <w:highlight w:val="none"/>
        </w:rPr>
        <w:t>万元，明阳街道一般公共预算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收入为5,</w:t>
      </w:r>
      <w:r>
        <w:rPr>
          <w:rFonts w:hint="eastAsia" w:ascii="仿宋_GB2312" w:hAnsi="仿宋_GB2312" w:cs="仿宋_GB2312"/>
          <w:highlight w:val="none"/>
          <w:lang w:val="en-US" w:eastAsia="zh-CN"/>
        </w:rPr>
        <w:t>191</w:t>
      </w:r>
      <w:r>
        <w:rPr>
          <w:rFonts w:hint="eastAsia" w:ascii="仿宋_GB2312" w:hAnsi="仿宋_GB2312" w:cs="仿宋_GB2312"/>
          <w:highlight w:val="none"/>
        </w:rPr>
        <w:t>万元；明阳街道一般公共预算支出4,</w:t>
      </w:r>
      <w:r>
        <w:rPr>
          <w:rFonts w:hint="eastAsia" w:ascii="仿宋_GB2312" w:hAnsi="仿宋_GB2312" w:cs="仿宋_GB2312"/>
          <w:highlight w:val="none"/>
          <w:lang w:val="en-US" w:eastAsia="zh-CN"/>
        </w:rPr>
        <w:t>772</w:t>
      </w:r>
      <w:r>
        <w:rPr>
          <w:rFonts w:hint="eastAsia" w:ascii="仿宋_GB2312" w:hAnsi="仿宋_GB2312" w:cs="仿宋_GB2312"/>
          <w:highlight w:val="none"/>
        </w:rPr>
        <w:t>万元，加上上解上级支出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419</w:t>
      </w:r>
      <w:r>
        <w:rPr>
          <w:rFonts w:hint="eastAsia" w:ascii="仿宋_GB2312" w:hAnsi="仿宋_GB2312" w:cs="仿宋_GB2312"/>
          <w:highlight w:val="none"/>
        </w:rPr>
        <w:t>万元，明阳街道一般公共预算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总支出</w:t>
      </w:r>
      <w:r>
        <w:rPr>
          <w:rFonts w:hint="eastAsia" w:ascii="仿宋_GB2312" w:hAnsi="仿宋_GB2312" w:cs="仿宋_GB2312"/>
          <w:highlight w:val="none"/>
        </w:rPr>
        <w:t>为5,</w:t>
      </w:r>
      <w:r>
        <w:rPr>
          <w:rFonts w:hint="eastAsia" w:ascii="仿宋_GB2312" w:hAnsi="仿宋_GB2312" w:cs="仿宋_GB2312"/>
          <w:highlight w:val="none"/>
          <w:lang w:val="en-US" w:eastAsia="zh-CN"/>
        </w:rPr>
        <w:t>191</w:t>
      </w:r>
      <w:r>
        <w:rPr>
          <w:rFonts w:hint="eastAsia" w:ascii="仿宋_GB2312" w:hAnsi="仿宋_GB2312" w:cs="仿宋_GB2312"/>
          <w:highlight w:val="none"/>
        </w:rPr>
        <w:t>万元。收支相抵，预算平衡。</w:t>
      </w:r>
    </w:p>
    <w:p w14:paraId="2ABAE9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32" w:firstLineChars="200"/>
        <w:textAlignment w:val="auto"/>
        <w:rPr>
          <w:rFonts w:ascii="楷体_GB2312" w:hAnsi="仿宋_GB2312" w:eastAsia="楷体_GB2312" w:cs="仿宋_GB2312"/>
          <w:bCs/>
          <w:highlight w:val="none"/>
        </w:rPr>
      </w:pPr>
      <w:r>
        <w:rPr>
          <w:rFonts w:hint="eastAsia" w:ascii="楷体_GB2312" w:hAnsi="仿宋_GB2312" w:eastAsia="楷体_GB2312" w:cs="仿宋_GB2312"/>
          <w:bCs/>
          <w:highlight w:val="none"/>
        </w:rPr>
        <w:t>（二）政府性基金预算</w:t>
      </w:r>
    </w:p>
    <w:p w14:paraId="5DFAA9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3" w:firstLineChars="197"/>
        <w:textAlignment w:val="auto"/>
        <w:rPr>
          <w:rFonts w:hint="eastAsia" w:ascii="仿宋_GB2312" w:hAnsi="仿宋_GB2312" w:eastAsia="仿宋_GB2312" w:cs="仿宋_GB2312"/>
          <w:b/>
          <w:bCs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highlight w:val="none"/>
        </w:rPr>
        <w:t>1</w:t>
      </w:r>
      <w:r>
        <w:rPr>
          <w:rFonts w:hint="eastAsia" w:ascii="仿宋_GB2312" w:hAnsi="仿宋_GB2312" w:eastAsia="仿宋_GB2312" w:cs="仿宋_GB2312"/>
          <w:b/>
          <w:bCs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highlight w:val="none"/>
        </w:rPr>
        <w:t>全市政府性基金预算</w:t>
      </w:r>
    </w:p>
    <w:p w14:paraId="2AB8AE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3" w:firstLineChars="197"/>
        <w:textAlignment w:val="auto"/>
        <w:rPr>
          <w:rFonts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highlight w:val="none"/>
        </w:rPr>
        <w:t>全市政府性基金预算</w:t>
      </w:r>
      <w:r>
        <w:rPr>
          <w:rFonts w:hint="eastAsia" w:ascii="仿宋_GB2312" w:hAnsi="仿宋_GB2312" w:cs="仿宋_GB2312"/>
          <w:highlight w:val="none"/>
          <w:lang w:eastAsia="zh-CN"/>
        </w:rPr>
        <w:t>收入</w:t>
      </w:r>
      <w:r>
        <w:rPr>
          <w:rFonts w:hint="eastAsia" w:ascii="仿宋_GB2312" w:hAnsi="仿宋_GB2312" w:cs="仿宋_GB2312"/>
          <w:highlight w:val="none"/>
        </w:rPr>
        <w:t>（乡镇和街道无政府性基金预算）</w:t>
      </w:r>
      <w:r>
        <w:rPr>
          <w:rFonts w:hint="eastAsia" w:ascii="仿宋_GB2312" w:hAnsi="仿宋_GB2312" w:cs="仿宋_GB2312"/>
          <w:highlight w:val="none"/>
          <w:lang w:val="en-US" w:eastAsia="zh-CN"/>
        </w:rPr>
        <w:t>78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872</w:t>
      </w:r>
      <w:r>
        <w:rPr>
          <w:rFonts w:hint="eastAsia" w:ascii="仿宋_GB2312" w:hAnsi="仿宋_GB2312" w:cs="仿宋_GB2312"/>
          <w:highlight w:val="none"/>
        </w:rPr>
        <w:t>万元</w:t>
      </w:r>
      <w:r>
        <w:rPr>
          <w:rFonts w:hint="eastAsia" w:ascii="仿宋_GB2312" w:hAnsi="仿宋_GB2312" w:cs="仿宋_GB231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highlight w:val="none"/>
        </w:rPr>
        <w:t>主要包括土地出让金</w:t>
      </w:r>
      <w:r>
        <w:rPr>
          <w:rFonts w:hint="eastAsia" w:ascii="仿宋_GB2312" w:hAnsi="仿宋_GB2312" w:cs="仿宋_GB2312"/>
          <w:highlight w:val="none"/>
          <w:lang w:val="en-US" w:eastAsia="zh-CN"/>
        </w:rPr>
        <w:t>收入68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612</w:t>
      </w:r>
      <w:r>
        <w:rPr>
          <w:rFonts w:hint="eastAsia" w:ascii="仿宋_GB2312" w:hAnsi="仿宋_GB2312" w:cs="仿宋_GB2312"/>
          <w:highlight w:val="none"/>
        </w:rPr>
        <w:t>万元、城市基础设施配套费</w:t>
      </w:r>
      <w:r>
        <w:rPr>
          <w:rFonts w:hint="eastAsia" w:ascii="仿宋_GB2312" w:hAnsi="仿宋_GB2312" w:cs="仿宋_GB2312"/>
          <w:highlight w:val="none"/>
          <w:lang w:val="en-US" w:eastAsia="zh-CN"/>
        </w:rPr>
        <w:t>收入3</w:t>
      </w:r>
      <w:r>
        <w:rPr>
          <w:rFonts w:hint="eastAsia" w:ascii="仿宋_GB2312" w:hAnsi="仿宋_GB2312" w:cs="仿宋_GB2312"/>
          <w:highlight w:val="none"/>
        </w:rPr>
        <w:t>,000万元、污水处理费收入1,</w:t>
      </w:r>
      <w:r>
        <w:rPr>
          <w:rFonts w:hint="eastAsia" w:ascii="仿宋_GB2312" w:hAnsi="仿宋_GB2312" w:cs="仿宋_GB231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highlight w:val="none"/>
        </w:rPr>
        <w:t>00万元、专项债务对应项目专项收入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6,060</w:t>
      </w:r>
      <w:r>
        <w:rPr>
          <w:rFonts w:hint="eastAsia" w:ascii="仿宋_GB2312" w:hAnsi="仿宋_GB2312" w:cs="仿宋_GB2312"/>
          <w:highlight w:val="none"/>
        </w:rPr>
        <w:t>万元，</w:t>
      </w:r>
      <w:r>
        <w:rPr>
          <w:rFonts w:hint="eastAsia" w:ascii="仿宋_GB2312" w:hAnsi="仿宋_GB2312" w:cs="仿宋_GB2312"/>
          <w:highlight w:val="none"/>
          <w:lang w:eastAsia="zh-CN"/>
        </w:rPr>
        <w:t>加上调入资金</w:t>
      </w:r>
      <w:r>
        <w:rPr>
          <w:rFonts w:hint="eastAsia" w:ascii="仿宋_GB2312" w:hAnsi="仿宋_GB2312" w:cs="仿宋_GB2312"/>
          <w:highlight w:val="none"/>
          <w:lang w:val="en-US" w:eastAsia="zh-CN"/>
        </w:rPr>
        <w:t>10,000万元，</w:t>
      </w:r>
      <w:r>
        <w:rPr>
          <w:rFonts w:hint="eastAsia" w:ascii="仿宋_GB2312" w:hAnsi="仿宋_GB2312" w:cs="仿宋_GB2312"/>
          <w:highlight w:val="none"/>
        </w:rPr>
        <w:t>全市政府性基金预算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88,872万元</w:t>
      </w:r>
      <w:r>
        <w:rPr>
          <w:rFonts w:hint="eastAsia" w:ascii="仿宋_GB2312" w:hAnsi="仿宋_GB2312" w:cs="仿宋_GB2312"/>
          <w:highlight w:val="none"/>
        </w:rPr>
        <w:t>；全市政府性基金预算支出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70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525</w:t>
      </w:r>
      <w:r>
        <w:rPr>
          <w:rFonts w:hint="eastAsia" w:ascii="仿宋_GB2312" w:hAnsi="仿宋_GB2312" w:cs="仿宋_GB2312"/>
          <w:highlight w:val="none"/>
        </w:rPr>
        <w:t>万元</w:t>
      </w:r>
      <w:r>
        <w:rPr>
          <w:rFonts w:hint="eastAsia" w:ascii="仿宋_GB2312" w:hAnsi="仿宋_GB2312" w:cs="仿宋_GB231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highlight w:val="none"/>
        </w:rPr>
        <w:t>主要包括</w:t>
      </w:r>
      <w:r>
        <w:rPr>
          <w:rFonts w:hint="eastAsia" w:ascii="仿宋_GB2312" w:hAnsi="仿宋_GB2312" w:cs="仿宋_GB2312"/>
          <w:highlight w:val="none"/>
          <w:lang w:val="en-US" w:eastAsia="zh-CN"/>
        </w:rPr>
        <w:t>国有土地使用权出让收入安排支出</w:t>
      </w:r>
      <w:r>
        <w:rPr>
          <w:rFonts w:hint="eastAsia" w:ascii="仿宋_GB2312" w:hAnsi="仿宋_GB2312" w:cs="仿宋_GB2312"/>
          <w:highlight w:val="none"/>
        </w:rPr>
        <w:t>6,3</w:t>
      </w:r>
      <w:r>
        <w:rPr>
          <w:rFonts w:hint="eastAsia" w:ascii="仿宋_GB2312" w:hAnsi="仿宋_GB2312" w:cs="仿宋_GB2312"/>
          <w:highlight w:val="none"/>
          <w:lang w:val="en-US" w:eastAsia="zh-CN"/>
        </w:rPr>
        <w:t>00万元、城市基础设施配套费支出</w:t>
      </w:r>
      <w:r>
        <w:rPr>
          <w:rFonts w:hint="eastAsia" w:ascii="仿宋_GB2312" w:hAnsi="仿宋_GB2312" w:cs="仿宋_GB2312"/>
          <w:highlight w:val="none"/>
        </w:rPr>
        <w:t>3,000</w:t>
      </w:r>
      <w:r>
        <w:rPr>
          <w:rFonts w:hint="eastAsia" w:ascii="仿宋_GB2312" w:hAnsi="仿宋_GB2312" w:cs="仿宋_GB2312"/>
          <w:highlight w:val="none"/>
          <w:lang w:val="en-US" w:eastAsia="zh-CN"/>
        </w:rPr>
        <w:t>万元、污水处理费支出</w:t>
      </w:r>
      <w:r>
        <w:rPr>
          <w:rFonts w:hint="eastAsia" w:ascii="仿宋_GB2312" w:hAnsi="仿宋_GB2312" w:cs="仿宋_GB2312"/>
          <w:highlight w:val="none"/>
        </w:rPr>
        <w:t xml:space="preserve"> 1,200 万元、地方政府专项债券付息及发行费用</w:t>
      </w:r>
      <w:r>
        <w:rPr>
          <w:rFonts w:hint="eastAsia" w:ascii="仿宋_GB2312" w:hAnsi="仿宋_GB2312" w:cs="仿宋_GB2312"/>
          <w:highlight w:val="none"/>
          <w:lang w:val="en-US" w:eastAsia="zh-CN"/>
        </w:rPr>
        <w:t>支出60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025</w:t>
      </w:r>
      <w:r>
        <w:rPr>
          <w:rFonts w:hint="eastAsia" w:ascii="仿宋_GB2312" w:hAnsi="仿宋_GB2312" w:cs="仿宋_GB2312"/>
          <w:highlight w:val="none"/>
        </w:rPr>
        <w:t>万元,加上上解支出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7</w:t>
      </w:r>
      <w:r>
        <w:rPr>
          <w:rFonts w:hint="eastAsia" w:ascii="仿宋_GB2312" w:hAnsi="仿宋_GB2312" w:cs="仿宋_GB2312"/>
          <w:highlight w:val="none"/>
        </w:rPr>
        <w:t>,000万元、地方政府专项债务还本支出11,347万元，全市政府性基金预算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88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872</w:t>
      </w:r>
      <w:r>
        <w:rPr>
          <w:rFonts w:hint="eastAsia" w:ascii="仿宋_GB2312" w:hAnsi="仿宋_GB2312" w:cs="仿宋_GB2312"/>
          <w:highlight w:val="none"/>
        </w:rPr>
        <w:t>万元。收支相抵，预算平衡。</w:t>
      </w:r>
    </w:p>
    <w:p w14:paraId="027DF9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3" w:firstLineChars="197"/>
        <w:textAlignment w:val="auto"/>
        <w:rPr>
          <w:rFonts w:hint="eastAsia" w:ascii="仿宋_GB2312" w:hAnsi="仿宋_GB2312" w:eastAsia="仿宋_GB2312" w:cs="仿宋_GB2312"/>
          <w:b/>
          <w:bCs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highlight w:val="none"/>
        </w:rPr>
        <w:t>2</w:t>
      </w:r>
      <w:r>
        <w:rPr>
          <w:rFonts w:hint="eastAsia" w:ascii="仿宋_GB2312" w:hAnsi="仿宋_GB2312" w:eastAsia="仿宋_GB2312" w:cs="仿宋_GB2312"/>
          <w:b/>
          <w:bCs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highlight w:val="none"/>
        </w:rPr>
        <w:t>市本级政府性基金预算</w:t>
      </w:r>
    </w:p>
    <w:p w14:paraId="0C7B4D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3" w:firstLineChars="197"/>
        <w:textAlignment w:val="auto"/>
        <w:rPr>
          <w:rFonts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highlight w:val="none"/>
          <w:lang w:val="en-US" w:eastAsia="zh-CN"/>
        </w:rPr>
        <w:t>市本级</w:t>
      </w:r>
      <w:r>
        <w:rPr>
          <w:rFonts w:hint="eastAsia" w:ascii="仿宋_GB2312" w:hAnsi="仿宋_GB2312" w:cs="仿宋_GB2312"/>
          <w:highlight w:val="none"/>
          <w:lang w:eastAsia="zh-CN"/>
        </w:rPr>
        <w:t>政府性基金预算收入48</w:t>
      </w:r>
      <w:r>
        <w:rPr>
          <w:rFonts w:hint="eastAsia" w:ascii="仿宋_GB2312" w:hAnsi="仿宋_GB2312" w:cs="仿宋_GB231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highlight w:val="none"/>
          <w:lang w:eastAsia="zh-CN"/>
        </w:rPr>
        <w:t>909万元。</w:t>
      </w:r>
      <w:r>
        <w:rPr>
          <w:rFonts w:hint="eastAsia" w:ascii="仿宋_GB2312" w:hAnsi="仿宋_GB2312" w:cs="仿宋_GB2312"/>
          <w:highlight w:val="none"/>
        </w:rPr>
        <w:t>主要包括土地出让金</w:t>
      </w:r>
      <w:r>
        <w:rPr>
          <w:rFonts w:hint="eastAsia" w:ascii="仿宋_GB2312" w:hAnsi="仿宋_GB2312" w:cs="仿宋_GB2312"/>
          <w:highlight w:val="none"/>
          <w:lang w:val="en-US" w:eastAsia="zh-CN"/>
        </w:rPr>
        <w:t>收入</w:t>
      </w:r>
      <w:r>
        <w:rPr>
          <w:rFonts w:hint="eastAsia" w:ascii="仿宋_GB2312" w:hAnsi="仿宋_GB2312" w:cs="仿宋_GB2312"/>
          <w:highlight w:val="none"/>
        </w:rPr>
        <w:t>39</w:t>
      </w:r>
      <w:r>
        <w:rPr>
          <w:rFonts w:hint="eastAsia" w:ascii="仿宋_GB2312" w:hAnsi="仿宋_GB2312" w:cs="仿宋_GB231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highlight w:val="none"/>
        </w:rPr>
        <w:t>670万元、城市基础设施配套费</w:t>
      </w:r>
      <w:r>
        <w:rPr>
          <w:rFonts w:hint="eastAsia" w:ascii="仿宋_GB2312" w:hAnsi="仿宋_GB2312" w:cs="仿宋_GB2312"/>
          <w:highlight w:val="none"/>
          <w:lang w:val="en-US" w:eastAsia="zh-CN"/>
        </w:rPr>
        <w:t>收入</w:t>
      </w:r>
      <w:r>
        <w:rPr>
          <w:rFonts w:hint="eastAsia" w:ascii="仿宋_GB2312" w:hAnsi="仿宋_GB2312" w:cs="仿宋_GB2312"/>
          <w:highlight w:val="none"/>
        </w:rPr>
        <w:t>3</w:t>
      </w:r>
      <w:r>
        <w:rPr>
          <w:rFonts w:hint="eastAsia" w:ascii="仿宋_GB2312" w:hAnsi="仿宋_GB2312" w:cs="仿宋_GB231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highlight w:val="none"/>
        </w:rPr>
        <w:t>000万元、污水处理费收入1</w:t>
      </w:r>
      <w:r>
        <w:rPr>
          <w:rFonts w:hint="eastAsia" w:ascii="仿宋_GB2312" w:hAnsi="仿宋_GB2312" w:cs="仿宋_GB231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highlight w:val="none"/>
        </w:rPr>
        <w:t>200万元</w:t>
      </w:r>
      <w:r>
        <w:rPr>
          <w:rFonts w:hint="eastAsia" w:ascii="仿宋_GB2312" w:hAnsi="仿宋_GB2312" w:cs="仿宋_GB2312"/>
          <w:highlight w:val="none"/>
          <w:lang w:eastAsia="zh-CN"/>
        </w:rPr>
        <w:t>、专项债务对应项目专项收入5</w:t>
      </w:r>
      <w:r>
        <w:rPr>
          <w:rFonts w:hint="eastAsia" w:ascii="仿宋_GB2312" w:hAnsi="仿宋_GB2312" w:cs="仿宋_GB231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highlight w:val="none"/>
          <w:lang w:eastAsia="zh-CN"/>
        </w:rPr>
        <w:t>0</w:t>
      </w:r>
      <w:r>
        <w:rPr>
          <w:rFonts w:hint="eastAsia" w:ascii="仿宋_GB2312" w:hAnsi="仿宋_GB2312" w:cs="仿宋_GB2312"/>
          <w:highlight w:val="none"/>
          <w:lang w:val="en-US" w:eastAsia="zh-CN"/>
        </w:rPr>
        <w:t>39</w:t>
      </w:r>
      <w:r>
        <w:rPr>
          <w:rFonts w:hint="eastAsia" w:ascii="仿宋_GB2312" w:hAnsi="仿宋_GB2312" w:cs="仿宋_GB2312"/>
          <w:highlight w:val="none"/>
          <w:lang w:eastAsia="zh-CN"/>
        </w:rPr>
        <w:t>万元，加上调入资金</w:t>
      </w:r>
      <w:r>
        <w:rPr>
          <w:rFonts w:hint="eastAsia" w:ascii="仿宋_GB2312" w:hAnsi="仿宋_GB2312" w:cs="仿宋_GB2312"/>
          <w:highlight w:val="none"/>
          <w:lang w:val="en-US" w:eastAsia="zh-CN"/>
        </w:rPr>
        <w:t>10,000万元、上解收入2,000万元，</w:t>
      </w:r>
      <w:r>
        <w:rPr>
          <w:rFonts w:hint="eastAsia" w:ascii="仿宋_GB2312" w:hAnsi="仿宋_GB2312" w:cs="仿宋_GB2312"/>
          <w:highlight w:val="none"/>
        </w:rPr>
        <w:t>市本级政府性基金预算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</w:t>
      </w:r>
      <w:r>
        <w:rPr>
          <w:rFonts w:hint="eastAsia" w:ascii="仿宋_GB2312" w:hAnsi="仿宋_GB2312" w:cs="仿宋_GB2312"/>
          <w:highlight w:val="none"/>
        </w:rPr>
        <w:t>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60,909</w:t>
      </w:r>
      <w:r>
        <w:rPr>
          <w:rFonts w:hint="eastAsia" w:ascii="仿宋_GB2312" w:hAnsi="仿宋_GB2312" w:cs="仿宋_GB2312"/>
          <w:highlight w:val="none"/>
        </w:rPr>
        <w:t>万元；市本级政府性基金预算支出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42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562</w:t>
      </w:r>
      <w:r>
        <w:rPr>
          <w:rFonts w:hint="eastAsia" w:ascii="仿宋_GB2312" w:hAnsi="仿宋_GB2312" w:cs="仿宋_GB2312"/>
          <w:highlight w:val="none"/>
        </w:rPr>
        <w:t>万元</w:t>
      </w:r>
      <w:r>
        <w:rPr>
          <w:rFonts w:hint="eastAsia" w:ascii="仿宋_GB2312" w:hAnsi="仿宋_GB2312" w:cs="仿宋_GB231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highlight w:val="none"/>
        </w:rPr>
        <w:t>主要包括</w:t>
      </w:r>
      <w:r>
        <w:rPr>
          <w:rFonts w:hint="eastAsia" w:ascii="仿宋_GB2312" w:hAnsi="仿宋_GB2312" w:cs="仿宋_GB2312"/>
          <w:highlight w:val="none"/>
          <w:lang w:eastAsia="zh-CN"/>
        </w:rPr>
        <w:t>国有土地使用权出让收入安排支出6,3</w:t>
      </w:r>
      <w:r>
        <w:rPr>
          <w:rFonts w:hint="eastAsia" w:ascii="仿宋_GB2312" w:hAnsi="仿宋_GB2312" w:cs="仿宋_GB2312"/>
          <w:highlight w:val="none"/>
          <w:lang w:val="en-US" w:eastAsia="zh-CN"/>
        </w:rPr>
        <w:t>00</w:t>
      </w:r>
      <w:r>
        <w:rPr>
          <w:rFonts w:hint="eastAsia" w:ascii="仿宋_GB2312" w:hAnsi="仿宋_GB2312" w:cs="仿宋_GB2312"/>
          <w:highlight w:val="none"/>
          <w:lang w:eastAsia="zh-CN"/>
        </w:rPr>
        <w:t>万元、城市基础设施配套费</w:t>
      </w:r>
      <w:r>
        <w:rPr>
          <w:rFonts w:hint="eastAsia" w:ascii="仿宋_GB2312" w:hAnsi="仿宋_GB2312" w:cs="仿宋_GB2312"/>
          <w:highlight w:val="none"/>
          <w:lang w:val="en-US" w:eastAsia="zh-CN"/>
        </w:rPr>
        <w:t>支出</w:t>
      </w:r>
      <w:r>
        <w:rPr>
          <w:rFonts w:hint="eastAsia" w:ascii="仿宋_GB2312" w:hAnsi="仿宋_GB2312" w:cs="仿宋_GB2312"/>
          <w:highlight w:val="none"/>
          <w:lang w:eastAsia="zh-CN"/>
        </w:rPr>
        <w:t>3,000万元、污水处理费</w:t>
      </w:r>
      <w:r>
        <w:rPr>
          <w:rFonts w:hint="eastAsia" w:ascii="仿宋_GB2312" w:hAnsi="仿宋_GB2312" w:cs="仿宋_GB2312"/>
          <w:highlight w:val="none"/>
          <w:lang w:val="en-US" w:eastAsia="zh-CN"/>
        </w:rPr>
        <w:t>支出</w:t>
      </w:r>
      <w:r>
        <w:rPr>
          <w:rFonts w:hint="eastAsia" w:ascii="仿宋_GB2312" w:hAnsi="仿宋_GB2312" w:cs="仿宋_GB2312"/>
          <w:highlight w:val="none"/>
          <w:lang w:eastAsia="zh-CN"/>
        </w:rPr>
        <w:t xml:space="preserve"> 1,200 万元、</w:t>
      </w:r>
      <w:r>
        <w:rPr>
          <w:rFonts w:hint="eastAsia" w:ascii="仿宋_GB2312" w:hAnsi="仿宋_GB2312" w:cs="仿宋_GB2312"/>
          <w:highlight w:val="none"/>
        </w:rPr>
        <w:t>地方政府专项债券付息及发行费用</w:t>
      </w:r>
      <w:r>
        <w:rPr>
          <w:rFonts w:hint="eastAsia" w:ascii="仿宋_GB2312" w:hAnsi="仿宋_GB2312" w:cs="仿宋_GB2312"/>
          <w:highlight w:val="none"/>
          <w:lang w:val="en-US" w:eastAsia="zh-CN"/>
        </w:rPr>
        <w:t>支出32,</w:t>
      </w:r>
      <w:r>
        <w:rPr>
          <w:rFonts w:hint="eastAsia" w:ascii="仿宋_GB2312" w:hAnsi="仿宋_GB2312" w:cs="仿宋_GB2312"/>
          <w:highlight w:val="none"/>
        </w:rPr>
        <w:t>0</w:t>
      </w:r>
      <w:r>
        <w:rPr>
          <w:rFonts w:hint="eastAsia" w:ascii="仿宋_GB2312" w:hAnsi="仿宋_GB2312" w:cs="仿宋_GB2312"/>
          <w:highlight w:val="none"/>
          <w:lang w:val="en-US" w:eastAsia="zh-CN"/>
        </w:rPr>
        <w:t>62</w:t>
      </w:r>
      <w:r>
        <w:rPr>
          <w:rFonts w:hint="eastAsia" w:ascii="仿宋_GB2312" w:hAnsi="仿宋_GB2312" w:cs="仿宋_GB2312"/>
          <w:highlight w:val="none"/>
        </w:rPr>
        <w:t>万元,</w:t>
      </w:r>
      <w:r>
        <w:rPr>
          <w:rFonts w:hint="eastAsia" w:ascii="仿宋_GB2312" w:hAnsi="仿宋_GB2312" w:cs="仿宋_GB2312"/>
          <w:highlight w:val="none"/>
          <w:lang w:eastAsia="zh-CN"/>
        </w:rPr>
        <w:t>加上上解支出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7,000万元</w:t>
      </w:r>
      <w:r>
        <w:rPr>
          <w:rFonts w:hint="eastAsia" w:ascii="仿宋_GB2312" w:hAnsi="仿宋_GB2312" w:cs="仿宋_GB2312"/>
          <w:highlight w:val="none"/>
          <w:lang w:eastAsia="zh-CN"/>
        </w:rPr>
        <w:t>、</w:t>
      </w:r>
      <w:r>
        <w:rPr>
          <w:rFonts w:hint="eastAsia" w:ascii="仿宋_GB2312" w:hAnsi="仿宋_GB2312" w:cs="仿宋_GB2312"/>
          <w:highlight w:val="none"/>
        </w:rPr>
        <w:t>地方政府专项债务还本支出11</w:t>
      </w:r>
      <w:r>
        <w:rPr>
          <w:rFonts w:hint="eastAsia" w:ascii="仿宋_GB2312" w:hAnsi="仿宋_GB2312" w:cs="仿宋_GB231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highlight w:val="none"/>
        </w:rPr>
        <w:t>347万元</w:t>
      </w:r>
      <w:r>
        <w:rPr>
          <w:rFonts w:hint="eastAsia" w:ascii="仿宋_GB2312" w:hAnsi="仿宋_GB2312" w:cs="仿宋_GB2312"/>
          <w:highlight w:val="none"/>
          <w:lang w:val="en-US" w:eastAsia="zh-CN"/>
        </w:rPr>
        <w:t>，</w:t>
      </w:r>
      <w:r>
        <w:rPr>
          <w:rFonts w:hint="eastAsia" w:ascii="仿宋_GB2312" w:hAnsi="仿宋_GB2312" w:cs="仿宋_GB2312"/>
          <w:highlight w:val="none"/>
        </w:rPr>
        <w:t>市本级政府性基金预算</w:t>
      </w:r>
      <w:r>
        <w:rPr>
          <w:rFonts w:hint="eastAsia" w:ascii="仿宋_GB2312" w:hAnsi="仿宋_GB2312" w:cs="仿宋_GB2312"/>
          <w:highlight w:val="none"/>
          <w:lang w:val="en-US" w:eastAsia="zh-CN"/>
        </w:rPr>
        <w:t>总支出60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909</w:t>
      </w:r>
      <w:r>
        <w:rPr>
          <w:rFonts w:hint="eastAsia" w:ascii="仿宋_GB2312" w:hAnsi="仿宋_GB2312" w:cs="仿宋_GB2312"/>
          <w:highlight w:val="none"/>
        </w:rPr>
        <w:t>万元。收支相抵，预算平衡。</w:t>
      </w:r>
    </w:p>
    <w:p w14:paraId="4E1B5B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3" w:firstLineChars="197"/>
        <w:textAlignment w:val="auto"/>
        <w:rPr>
          <w:rFonts w:hint="eastAsia" w:ascii="仿宋_GB2312" w:hAnsi="仿宋_GB2312" w:eastAsia="仿宋_GB2312" w:cs="仿宋_GB2312"/>
          <w:b/>
          <w:bCs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highlight w:val="none"/>
        </w:rPr>
        <w:t>3</w:t>
      </w:r>
      <w:r>
        <w:rPr>
          <w:rFonts w:hint="eastAsia" w:ascii="仿宋_GB2312" w:hAnsi="仿宋_GB2312" w:eastAsia="仿宋_GB2312" w:cs="仿宋_GB2312"/>
          <w:b/>
          <w:bCs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highlight w:val="none"/>
        </w:rPr>
        <w:t>北黄海经开区政府性基金预算</w:t>
      </w:r>
    </w:p>
    <w:p w14:paraId="17A976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32" w:firstLineChars="200"/>
        <w:textAlignment w:val="auto"/>
        <w:rPr>
          <w:rFonts w:ascii="仿宋_GB2312" w:hAnsi="楷体_GB2312" w:cs="楷体_GB2312"/>
          <w:b/>
          <w:bCs/>
          <w:highlight w:val="none"/>
        </w:rPr>
      </w:pPr>
      <w:r>
        <w:rPr>
          <w:rFonts w:hint="eastAsia" w:ascii="仿宋_GB2312" w:hAnsi="仿宋_GB2312" w:cs="仿宋_GB2312"/>
          <w:highlight w:val="none"/>
          <w:lang w:val="en-US" w:eastAsia="zh-CN"/>
        </w:rPr>
        <w:t>北黄海经开区政府性基金预算</w:t>
      </w:r>
      <w:r>
        <w:rPr>
          <w:rFonts w:hint="eastAsia" w:ascii="仿宋_GB2312" w:hAnsi="仿宋_GB2312" w:cs="仿宋_GB2312"/>
          <w:highlight w:val="none"/>
        </w:rPr>
        <w:t>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29,963</w:t>
      </w:r>
      <w:r>
        <w:rPr>
          <w:rFonts w:hint="eastAsia" w:ascii="仿宋_GB2312" w:hAnsi="仿宋_GB2312" w:cs="仿宋_GB2312"/>
          <w:highlight w:val="none"/>
        </w:rPr>
        <w:t>万元，包括</w:t>
      </w:r>
      <w:r>
        <w:rPr>
          <w:rFonts w:hint="eastAsia" w:ascii="仿宋_GB2312" w:hAnsi="仿宋_GB2312" w:cs="仿宋_GB2312"/>
          <w:highlight w:val="none"/>
          <w:lang w:eastAsia="zh-CN"/>
        </w:rPr>
        <w:t>国有土地使用权出让收入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28,942万元、</w:t>
      </w:r>
      <w:r>
        <w:rPr>
          <w:rFonts w:hint="eastAsia" w:ascii="仿宋_GB2312" w:hAnsi="仿宋_GB2312" w:cs="仿宋_GB2312"/>
          <w:highlight w:val="none"/>
        </w:rPr>
        <w:t>专项债务对应项目专项收入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1,021</w:t>
      </w:r>
      <w:r>
        <w:rPr>
          <w:rFonts w:hint="eastAsia" w:ascii="仿宋_GB2312" w:hAnsi="仿宋_GB2312" w:cs="仿宋_GB2312"/>
          <w:highlight w:val="none"/>
        </w:rPr>
        <w:t>万元；北黄海经开区政府性基金预算支出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27,963</w:t>
      </w:r>
      <w:r>
        <w:rPr>
          <w:rFonts w:hint="eastAsia" w:ascii="仿宋_GB2312" w:hAnsi="仿宋_GB2312" w:cs="仿宋_GB2312"/>
          <w:highlight w:val="none"/>
        </w:rPr>
        <w:t>万元，主要包括地方政府专项债券付息支出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27,963</w:t>
      </w:r>
      <w:r>
        <w:rPr>
          <w:rFonts w:hint="eastAsia" w:ascii="仿宋_GB2312" w:hAnsi="仿宋_GB2312" w:cs="仿宋_GB2312"/>
          <w:highlight w:val="none"/>
        </w:rPr>
        <w:t>万元</w:t>
      </w:r>
      <w:r>
        <w:rPr>
          <w:rFonts w:hint="eastAsia" w:ascii="仿宋_GB2312" w:hAnsi="仿宋_GB2312" w:cs="仿宋_GB2312"/>
          <w:highlight w:val="none"/>
          <w:lang w:eastAsia="zh-CN"/>
        </w:rPr>
        <w:t>，加上上解支出</w:t>
      </w:r>
      <w:r>
        <w:rPr>
          <w:rFonts w:hint="eastAsia" w:ascii="仿宋_GB2312" w:hAnsi="仿宋_GB2312" w:cs="仿宋_GB2312"/>
          <w:highlight w:val="none"/>
          <w:lang w:val="en-US" w:eastAsia="zh-CN"/>
        </w:rPr>
        <w:t>2,000万元，北黄海经开区政府性基金预算总支出29,963万元</w:t>
      </w:r>
      <w:r>
        <w:rPr>
          <w:rFonts w:hint="eastAsia" w:ascii="仿宋_GB2312" w:hAnsi="仿宋_GB2312" w:cs="仿宋_GB2312"/>
          <w:highlight w:val="none"/>
        </w:rPr>
        <w:t>。收支相抵，预算平衡。</w:t>
      </w:r>
    </w:p>
    <w:p w14:paraId="0125CCA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32" w:firstLineChars="200"/>
        <w:textAlignment w:val="auto"/>
        <w:rPr>
          <w:rFonts w:ascii="楷体_GB2312" w:hAnsi="仿宋_GB2312" w:eastAsia="楷体_GB2312" w:cs="仿宋_GB2312"/>
          <w:bCs/>
          <w:highlight w:val="none"/>
        </w:rPr>
      </w:pPr>
      <w:r>
        <w:rPr>
          <w:rFonts w:hint="eastAsia" w:ascii="楷体_GB2312" w:hAnsi="仿宋_GB2312" w:eastAsia="楷体_GB2312" w:cs="仿宋_GB2312"/>
          <w:bCs/>
          <w:highlight w:val="none"/>
        </w:rPr>
        <w:t>（三）国有资本经营预算</w:t>
      </w:r>
    </w:p>
    <w:p w14:paraId="3C9180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20" w:firstLineChars="196"/>
        <w:textAlignment w:val="auto"/>
        <w:rPr>
          <w:rFonts w:hint="eastAsia"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highlight w:val="none"/>
        </w:rPr>
        <w:t>按照“以收定支，不列赤字”原则编制（均为市本级），</w:t>
      </w:r>
      <w:r>
        <w:rPr>
          <w:rFonts w:hint="eastAsia" w:ascii="仿宋_GB2312" w:hAnsi="仿宋_GB2312" w:cs="仿宋_GB2312"/>
          <w:highlight w:val="none"/>
          <w:lang w:val="en-US" w:eastAsia="zh-CN"/>
        </w:rPr>
        <w:t>全市国有资本经营预算</w:t>
      </w:r>
      <w:r>
        <w:rPr>
          <w:rFonts w:hint="eastAsia" w:ascii="仿宋_GB2312" w:hAnsi="仿宋_GB2312" w:cs="仿宋_GB2312"/>
          <w:highlight w:val="none"/>
        </w:rPr>
        <w:t>收入</w:t>
      </w:r>
      <w:r>
        <w:rPr>
          <w:rFonts w:hint="eastAsia" w:ascii="仿宋_GB2312" w:hAnsi="仿宋_GB2312" w:cs="仿宋_GB2312"/>
          <w:highlight w:val="none"/>
          <w:lang w:val="en-US" w:eastAsia="zh-CN"/>
        </w:rPr>
        <w:t>166</w:t>
      </w:r>
      <w:r>
        <w:rPr>
          <w:rFonts w:hint="eastAsia" w:ascii="仿宋_GB2312" w:hAnsi="仿宋_GB2312" w:cs="仿宋_GB2312"/>
          <w:highlight w:val="none"/>
        </w:rPr>
        <w:t>万元，其中：北黄海实业发展集团</w:t>
      </w:r>
      <w:r>
        <w:rPr>
          <w:rFonts w:hint="eastAsia" w:ascii="仿宋_GB2312" w:hAnsi="仿宋_GB2312" w:cs="仿宋_GB2312"/>
          <w:highlight w:val="none"/>
          <w:lang w:val="en-US" w:eastAsia="zh-CN"/>
        </w:rPr>
        <w:t>66</w:t>
      </w:r>
      <w:r>
        <w:rPr>
          <w:rFonts w:hint="eastAsia" w:ascii="仿宋_GB2312" w:hAnsi="仿宋_GB2312" w:cs="仿宋_GB2312"/>
          <w:highlight w:val="none"/>
        </w:rPr>
        <w:t>万元、黄海港务公司</w:t>
      </w:r>
      <w:r>
        <w:rPr>
          <w:rFonts w:hint="eastAsia" w:ascii="仿宋_GB2312" w:hAnsi="仿宋_GB2312" w:cs="仿宋_GB2312"/>
          <w:highlight w:val="none"/>
          <w:lang w:val="en-US" w:eastAsia="zh-CN"/>
        </w:rPr>
        <w:t>66</w:t>
      </w:r>
      <w:r>
        <w:rPr>
          <w:rFonts w:hint="eastAsia" w:ascii="仿宋_GB2312" w:hAnsi="仿宋_GB2312" w:cs="仿宋_GB2312"/>
          <w:highlight w:val="none"/>
        </w:rPr>
        <w:t>万元、农粮集团</w:t>
      </w:r>
      <w:r>
        <w:rPr>
          <w:rFonts w:hint="eastAsia" w:ascii="仿宋_GB2312" w:hAnsi="仿宋_GB2312" w:cs="仿宋_GB2312"/>
          <w:highlight w:val="none"/>
          <w:lang w:val="en-US" w:eastAsia="zh-CN"/>
        </w:rPr>
        <w:t>32</w:t>
      </w:r>
      <w:r>
        <w:rPr>
          <w:rFonts w:hint="eastAsia" w:ascii="仿宋_GB2312" w:hAnsi="仿宋_GB2312" w:cs="仿宋_GB2312"/>
          <w:highlight w:val="none"/>
        </w:rPr>
        <w:t>万元、企业信用融资担保公司</w:t>
      </w:r>
      <w:r>
        <w:rPr>
          <w:rFonts w:hint="eastAsia" w:ascii="仿宋_GB2312" w:hAnsi="仿宋_GB2312" w:cs="仿宋_GB231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highlight w:val="none"/>
        </w:rPr>
        <w:t>万元，不安排支出，全部调入一般公共预算。</w:t>
      </w:r>
    </w:p>
    <w:p w14:paraId="7810DA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32" w:firstLineChars="200"/>
        <w:textAlignment w:val="auto"/>
        <w:rPr>
          <w:rFonts w:ascii="楷体_GB2312" w:hAnsi="仿宋_GB2312" w:eastAsia="楷体_GB2312" w:cs="仿宋_GB2312"/>
          <w:bCs/>
          <w:highlight w:val="none"/>
        </w:rPr>
      </w:pPr>
      <w:r>
        <w:rPr>
          <w:rFonts w:hint="eastAsia" w:ascii="楷体_GB2312" w:hAnsi="仿宋_GB2312" w:eastAsia="楷体_GB2312" w:cs="仿宋_GB2312"/>
          <w:bCs/>
          <w:highlight w:val="none"/>
        </w:rPr>
        <w:t>（四）社会保险基金预算</w:t>
      </w:r>
    </w:p>
    <w:p w14:paraId="38BAD3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32" w:firstLineChars="200"/>
        <w:textAlignment w:val="auto"/>
        <w:rPr>
          <w:rFonts w:ascii="仿宋_GB2312" w:hAnsi="仿宋_GB2312"/>
          <w:b/>
          <w:bCs/>
          <w:highlight w:val="none"/>
        </w:rPr>
      </w:pPr>
      <w:r>
        <w:rPr>
          <w:rFonts w:hint="eastAsia" w:ascii="仿宋_GB2312" w:hAnsi="仿宋_GB2312" w:cs="仿宋_GB2312"/>
          <w:highlight w:val="none"/>
        </w:rPr>
        <w:t>按照我市统筹层次与保障要求编制（均为市本级），我市负责统筹的是机关事业单位养老保险基金，</w:t>
      </w:r>
      <w:r>
        <w:rPr>
          <w:rFonts w:hint="eastAsia" w:ascii="仿宋_GB2312" w:hAnsi="仿宋_GB2312" w:cs="仿宋_GB2312"/>
          <w:highlight w:val="none"/>
          <w:lang w:val="en-US" w:eastAsia="zh-CN"/>
        </w:rPr>
        <w:t>全市社会保险基金预算</w:t>
      </w:r>
      <w:r>
        <w:rPr>
          <w:rFonts w:hint="eastAsia" w:ascii="仿宋_GB2312" w:hAnsi="仿宋_GB2312" w:cs="仿宋_GB2312"/>
          <w:highlight w:val="none"/>
        </w:rPr>
        <w:t>收入106</w:t>
      </w:r>
      <w:r>
        <w:rPr>
          <w:rFonts w:hint="eastAsia" w:ascii="仿宋_GB2312" w:hAnsi="仿宋_GB2312" w:cs="仿宋_GB231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highlight w:val="none"/>
        </w:rPr>
        <w:t>428万元，其中：养老保险缴费收入2</w:t>
      </w:r>
      <w:r>
        <w:rPr>
          <w:rFonts w:hint="eastAsia" w:ascii="仿宋_GB2312" w:hAnsi="仿宋_GB2312" w:cs="仿宋_GB2312"/>
          <w:highlight w:val="none"/>
          <w:lang w:val="en-US" w:eastAsia="zh-CN"/>
        </w:rPr>
        <w:t>8</w:t>
      </w:r>
      <w:r>
        <w:rPr>
          <w:rFonts w:hint="eastAsia" w:ascii="仿宋_GB2312" w:hAnsi="仿宋_GB2312" w:cs="仿宋_GB2312"/>
          <w:highlight w:val="none"/>
        </w:rPr>
        <w:t>,</w:t>
      </w:r>
      <w:r>
        <w:rPr>
          <w:rFonts w:hint="eastAsia" w:ascii="仿宋_GB2312" w:hAnsi="仿宋_GB2312" w:cs="仿宋_GB2312"/>
          <w:highlight w:val="none"/>
          <w:lang w:val="en-US" w:eastAsia="zh-CN"/>
        </w:rPr>
        <w:t>00</w:t>
      </w:r>
      <w:r>
        <w:rPr>
          <w:rFonts w:hint="eastAsia" w:ascii="仿宋_GB2312" w:hAnsi="仿宋_GB2312" w:cs="仿宋_GB2312"/>
          <w:highlight w:val="none"/>
        </w:rPr>
        <w:t>0 万元、财政补助收入77</w:t>
      </w:r>
      <w:r>
        <w:rPr>
          <w:rFonts w:hint="eastAsia" w:ascii="仿宋_GB2312" w:hAnsi="仿宋_GB2312" w:cs="仿宋_GB2312"/>
          <w:highlight w:val="none"/>
          <w:lang w:val="en-US" w:eastAsia="zh-CN"/>
        </w:rPr>
        <w:t>,</w:t>
      </w:r>
      <w:r>
        <w:rPr>
          <w:rFonts w:hint="eastAsia" w:ascii="仿宋_GB2312" w:hAnsi="仿宋_GB2312" w:cs="仿宋_GB2312"/>
          <w:highlight w:val="none"/>
        </w:rPr>
        <w:t>534万元（即收支逆差）、其他收入894万元；全市社会保险基金预算支出106,428万元。收支相抵，预算平衡。</w:t>
      </w:r>
    </w:p>
    <w:p w14:paraId="3CD62D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32" w:firstLineChars="200"/>
        <w:textAlignment w:val="auto"/>
        <w:rPr>
          <w:rFonts w:ascii="黑体" w:hAnsi="黑体" w:eastAsia="黑体" w:cs="黑体"/>
          <w:highlight w:val="none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highlight w:val="none"/>
        </w:rPr>
        <w:t>、202</w:t>
      </w:r>
      <w:r>
        <w:rPr>
          <w:rFonts w:hint="eastAsia" w:ascii="黑体" w:hAnsi="黑体" w:eastAsia="黑体" w:cs="黑体"/>
          <w:highlight w:val="none"/>
          <w:lang w:val="en-US" w:eastAsia="zh-CN"/>
        </w:rPr>
        <w:t>5</w:t>
      </w:r>
      <w:r>
        <w:rPr>
          <w:rFonts w:hint="eastAsia" w:ascii="黑体" w:hAnsi="黑体" w:eastAsia="黑体" w:cs="黑体"/>
          <w:highlight w:val="none"/>
        </w:rPr>
        <w:t>年财政重点工作</w:t>
      </w:r>
    </w:p>
    <w:p w14:paraId="1FF67D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32" w:firstLineChars="200"/>
        <w:textAlignment w:val="auto"/>
        <w:rPr>
          <w:rFonts w:hint="eastAsia" w:ascii="仿宋_GB2312" w:hAnsi="仿宋_GB2312" w:cs="仿宋_GB2312"/>
          <w:highlight w:val="none"/>
          <w:lang w:eastAsia="zh-CN"/>
        </w:rPr>
      </w:pPr>
      <w:r>
        <w:rPr>
          <w:rFonts w:hint="eastAsia" w:ascii="仿宋_GB2312" w:hAnsi="仿宋_GB2312" w:cs="仿宋_GB2312"/>
          <w:highlight w:val="none"/>
        </w:rPr>
        <w:t>202</w:t>
      </w:r>
      <w:r>
        <w:rPr>
          <w:rFonts w:hint="eastAsia" w:ascii="仿宋_GB2312" w:hAnsi="仿宋_GB2312" w:cs="仿宋_GB2312"/>
          <w:highlight w:val="none"/>
          <w:lang w:val="en-US" w:eastAsia="zh-CN"/>
        </w:rPr>
        <w:t>5</w:t>
      </w:r>
      <w:r>
        <w:rPr>
          <w:rFonts w:hint="eastAsia" w:ascii="仿宋_GB2312" w:hAnsi="仿宋_GB2312" w:cs="仿宋_GB2312"/>
          <w:highlight w:val="none"/>
        </w:rPr>
        <w:t>年，我们将认真贯彻</w:t>
      </w:r>
      <w:r>
        <w:rPr>
          <w:rFonts w:hint="eastAsia" w:ascii="仿宋_GB2312" w:hAnsi="仿宋_GB2312" w:cs="仿宋_GB2312"/>
          <w:highlight w:val="none"/>
          <w:lang w:eastAsia="zh-CN"/>
        </w:rPr>
        <w:t>市</w:t>
      </w:r>
      <w:r>
        <w:rPr>
          <w:rFonts w:hint="eastAsia" w:ascii="仿宋_GB2312" w:hAnsi="仿宋_GB2312" w:cs="仿宋_GB2312"/>
          <w:highlight w:val="none"/>
        </w:rPr>
        <w:t>委</w:t>
      </w:r>
      <w:r>
        <w:rPr>
          <w:rFonts w:hint="eastAsia" w:ascii="仿宋_GB2312" w:hAnsi="仿宋_GB2312" w:cs="仿宋_GB2312"/>
          <w:highlight w:val="none"/>
          <w:lang w:eastAsia="zh-CN"/>
        </w:rPr>
        <w:t>、市</w:t>
      </w:r>
      <w:r>
        <w:rPr>
          <w:rFonts w:hint="eastAsia" w:ascii="仿宋_GB2312" w:hAnsi="仿宋_GB2312" w:cs="仿宋_GB2312"/>
          <w:highlight w:val="none"/>
        </w:rPr>
        <w:t>政府决策部署，重点增强</w:t>
      </w:r>
      <w:r>
        <w:rPr>
          <w:rFonts w:hint="eastAsia" w:ascii="仿宋_GB2312" w:hAnsi="仿宋_GB2312" w:cs="仿宋_GB2312"/>
          <w:highlight w:val="none"/>
          <w:lang w:eastAsia="zh-CN"/>
        </w:rPr>
        <w:t>财源建设</w:t>
      </w:r>
      <w:r>
        <w:rPr>
          <w:rFonts w:hint="eastAsia" w:ascii="仿宋_GB2312" w:hAnsi="仿宋_GB2312" w:cs="仿宋_GB2312"/>
          <w:highlight w:val="none"/>
        </w:rPr>
        <w:t>、兜牢“三保”底线</w:t>
      </w:r>
      <w:r>
        <w:rPr>
          <w:rFonts w:hint="eastAsia" w:ascii="仿宋_GB2312" w:hAnsi="仿宋_GB2312" w:cs="仿宋_GB2312"/>
          <w:highlight w:val="none"/>
          <w:lang w:eastAsia="zh-CN"/>
        </w:rPr>
        <w:t>、</w:t>
      </w:r>
      <w:r>
        <w:rPr>
          <w:rFonts w:hint="eastAsia" w:ascii="仿宋_GB2312" w:hAnsi="仿宋_GB2312" w:cs="仿宋_GB2312"/>
          <w:highlight w:val="none"/>
          <w:lang w:val="en-US" w:eastAsia="zh-CN"/>
        </w:rPr>
        <w:t>妥善化解债务风险、</w:t>
      </w:r>
      <w:r>
        <w:rPr>
          <w:rFonts w:hint="eastAsia" w:ascii="仿宋_GB2312" w:hAnsi="仿宋_GB2312" w:cs="仿宋_GB2312"/>
          <w:highlight w:val="none"/>
        </w:rPr>
        <w:t>深化财</w:t>
      </w:r>
      <w:r>
        <w:rPr>
          <w:rFonts w:hint="eastAsia" w:ascii="仿宋_GB2312" w:hAnsi="仿宋_GB2312" w:cs="仿宋_GB2312"/>
          <w:highlight w:val="none"/>
          <w:lang w:val="en-US" w:eastAsia="zh-CN"/>
        </w:rPr>
        <w:t>政</w:t>
      </w:r>
      <w:r>
        <w:rPr>
          <w:rFonts w:hint="eastAsia" w:ascii="仿宋_GB2312" w:hAnsi="仿宋_GB2312" w:cs="仿宋_GB2312"/>
          <w:highlight w:val="none"/>
        </w:rPr>
        <w:t>体制改革</w:t>
      </w:r>
      <w:r>
        <w:rPr>
          <w:rFonts w:hint="eastAsia" w:ascii="仿宋_GB2312" w:hAnsi="仿宋_GB2312" w:cs="仿宋_GB2312"/>
          <w:highlight w:val="none"/>
          <w:lang w:val="en-US" w:eastAsia="zh-CN"/>
        </w:rPr>
        <w:t>。</w:t>
      </w:r>
      <w:r>
        <w:rPr>
          <w:rFonts w:hint="eastAsia" w:ascii="仿宋_GB2312" w:hAnsi="仿宋_GB2312" w:cs="仿宋_GB2312"/>
          <w:highlight w:val="none"/>
        </w:rPr>
        <w:t>围绕推动高质量发展</w:t>
      </w:r>
      <w:r>
        <w:rPr>
          <w:rFonts w:hint="eastAsia" w:ascii="仿宋_GB2312" w:hAnsi="仿宋_GB2312" w:cs="仿宋_GB2312"/>
          <w:highlight w:val="none"/>
          <w:lang w:eastAsia="zh-CN"/>
        </w:rPr>
        <w:t>、</w:t>
      </w:r>
      <w:r>
        <w:rPr>
          <w:rFonts w:hint="eastAsia" w:ascii="仿宋_GB2312" w:hAnsi="仿宋_GB2312" w:cs="仿宋_GB2312"/>
          <w:highlight w:val="none"/>
        </w:rPr>
        <w:t>把握关键</w:t>
      </w:r>
      <w:r>
        <w:rPr>
          <w:rFonts w:hint="eastAsia" w:ascii="仿宋_GB2312" w:hAnsi="仿宋_GB2312" w:cs="仿宋_GB2312"/>
          <w:highlight w:val="none"/>
          <w:lang w:eastAsia="zh-CN"/>
        </w:rPr>
        <w:t>任务</w:t>
      </w:r>
      <w:r>
        <w:rPr>
          <w:rFonts w:hint="eastAsia" w:ascii="仿宋_GB2312" w:hAnsi="仿宋_GB2312" w:cs="仿宋_GB2312"/>
          <w:highlight w:val="none"/>
        </w:rPr>
        <w:t>，勠力同心确保全年预期目标圆满实现。</w:t>
      </w:r>
    </w:p>
    <w:p w14:paraId="0CFE5A6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3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-SA"/>
        </w:rPr>
        <w:t>（一）</w:t>
      </w:r>
      <w:r>
        <w:rPr>
          <w:rFonts w:hint="eastAsia" w:ascii="楷体_GB2312" w:hAnsi="楷体_GB2312" w:eastAsia="楷体_GB2312" w:cs="楷体_GB2312"/>
          <w:bCs/>
          <w:kern w:val="2"/>
          <w:sz w:val="32"/>
          <w:szCs w:val="32"/>
          <w:highlight w:val="none"/>
        </w:rPr>
        <w:t>推进财源建设，激发发展动能</w:t>
      </w: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  <w:highlight w:val="none"/>
        </w:rPr>
        <w:t>。</w:t>
      </w:r>
      <w:r>
        <w:rPr>
          <w:rFonts w:hint="eastAsia" w:ascii="仿宋_GB2312" w:hAnsi="仿宋_GB2312" w:cs="仿宋_GB2312"/>
          <w:highlight w:val="none"/>
        </w:rPr>
        <w:t>一是加强财政收入征管协同，科学制定收入计划，依法依规积极组织财政收入。协同发改、</w:t>
      </w:r>
      <w:r>
        <w:rPr>
          <w:rFonts w:hint="eastAsia" w:ascii="仿宋_GB2312" w:hAnsi="仿宋_GB2312" w:cs="仿宋_GB2312"/>
          <w:highlight w:val="none"/>
          <w:lang w:eastAsia="zh-CN"/>
        </w:rPr>
        <w:t>商务、科工</w:t>
      </w:r>
      <w:r>
        <w:rPr>
          <w:rFonts w:hint="eastAsia" w:ascii="仿宋_GB2312" w:hAnsi="仿宋_GB2312" w:cs="仿宋_GB2312"/>
          <w:highlight w:val="none"/>
        </w:rPr>
        <w:t>及税务等部门同向发力，切实用好招商引资政策</w:t>
      </w:r>
      <w:r>
        <w:rPr>
          <w:rFonts w:hint="eastAsia" w:ascii="仿宋_GB2312" w:hAnsi="仿宋_GB2312" w:cs="仿宋_GB231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highlight w:val="none"/>
        </w:rPr>
        <w:t>大力引进高质量企业，着力培育</w:t>
      </w:r>
      <w:r>
        <w:rPr>
          <w:rFonts w:hint="eastAsia" w:ascii="仿宋_GB2312" w:hAnsi="仿宋_GB2312" w:cs="仿宋_GB2312"/>
          <w:highlight w:val="none"/>
          <w:lang w:eastAsia="zh-CN"/>
        </w:rPr>
        <w:t>新型清洁能源</w:t>
      </w:r>
      <w:r>
        <w:rPr>
          <w:rFonts w:hint="eastAsia" w:ascii="仿宋_GB2312" w:hAnsi="仿宋_GB2312" w:cs="仿宋_GB2312"/>
          <w:highlight w:val="none"/>
        </w:rPr>
        <w:t>企业，积极涵养培植税源，不断提高财政收入质量，增强财政抗风险能力。二是做好土地收入文章。</w:t>
      </w:r>
      <w:r>
        <w:rPr>
          <w:rFonts w:hint="eastAsia" w:ascii="仿宋_GB2312" w:hAnsi="仿宋_GB2312" w:cs="仿宋_GB2312"/>
          <w:highlight w:val="none"/>
          <w:lang w:eastAsia="zh-CN"/>
        </w:rPr>
        <w:t>联合</w:t>
      </w:r>
      <w:r>
        <w:rPr>
          <w:rFonts w:hint="eastAsia" w:ascii="仿宋_GB2312" w:hAnsi="仿宋_GB2312" w:cs="仿宋_GB2312"/>
          <w:highlight w:val="none"/>
        </w:rPr>
        <w:t>自然资源等部门加大</w:t>
      </w:r>
      <w:r>
        <w:rPr>
          <w:rFonts w:hint="eastAsia" w:ascii="仿宋_GB2312" w:hAnsi="仿宋_GB2312" w:cs="仿宋_GB2312"/>
          <w:highlight w:val="none"/>
          <w:lang w:eastAsia="zh-CN"/>
        </w:rPr>
        <w:t>经营性</w:t>
      </w:r>
      <w:r>
        <w:rPr>
          <w:rFonts w:hint="eastAsia" w:ascii="仿宋_GB2312" w:hAnsi="仿宋_GB2312" w:cs="仿宋_GB2312"/>
          <w:highlight w:val="none"/>
        </w:rPr>
        <w:t>土地出让力度，</w:t>
      </w:r>
      <w:r>
        <w:rPr>
          <w:rFonts w:hint="eastAsia" w:ascii="仿宋_GB2312" w:hAnsi="仿宋_GB2312" w:cs="仿宋_GB2312"/>
          <w:highlight w:val="none"/>
          <w:lang w:eastAsia="zh-CN"/>
        </w:rPr>
        <w:t>科学制定出让计划、合理安排出让时序</w:t>
      </w:r>
      <w:r>
        <w:rPr>
          <w:rFonts w:hint="eastAsia" w:ascii="仿宋_GB2312" w:hAnsi="仿宋_GB2312" w:cs="仿宋_GB2312"/>
          <w:highlight w:val="none"/>
        </w:rPr>
        <w:t>，增加收入弥补财力，把土地资源转化为推动经济发展的“活水”</w:t>
      </w:r>
      <w:r>
        <w:rPr>
          <w:rFonts w:hint="eastAsia" w:ascii="仿宋_GB2312" w:hAnsi="仿宋_GB2312" w:cs="仿宋_GB2312"/>
          <w:highlight w:val="none"/>
          <w:lang w:eastAsia="zh-CN"/>
        </w:rPr>
        <w:t>。</w:t>
      </w:r>
      <w:r>
        <w:rPr>
          <w:rFonts w:hint="eastAsia" w:ascii="仿宋_GB2312" w:hAnsi="仿宋_GB2312" w:cs="仿宋_GB2312"/>
          <w:highlight w:val="none"/>
        </w:rPr>
        <w:t>三是有效盘活国有资产。加强全</w:t>
      </w:r>
      <w:r>
        <w:rPr>
          <w:rFonts w:hint="eastAsia" w:ascii="仿宋_GB2312" w:hAnsi="仿宋_GB2312" w:cs="仿宋_GB2312"/>
          <w:highlight w:val="none"/>
          <w:lang w:eastAsia="zh-CN"/>
        </w:rPr>
        <w:t>市</w:t>
      </w:r>
      <w:r>
        <w:rPr>
          <w:rFonts w:hint="eastAsia" w:ascii="仿宋_GB2312" w:hAnsi="仿宋_GB2312" w:cs="仿宋_GB2312"/>
          <w:highlight w:val="none"/>
        </w:rPr>
        <w:t>行政事业单位资产使用管理，确保资产高效利用，盘活国有</w:t>
      </w:r>
      <w:r>
        <w:rPr>
          <w:rFonts w:hint="eastAsia" w:ascii="仿宋_GB2312" w:hAnsi="仿宋_GB2312" w:cs="仿宋_GB2312"/>
          <w:highlight w:val="none"/>
          <w:lang w:eastAsia="zh-CN"/>
        </w:rPr>
        <w:t>企业</w:t>
      </w:r>
      <w:r>
        <w:rPr>
          <w:rFonts w:hint="eastAsia" w:ascii="仿宋_GB2312" w:hAnsi="仿宋_GB2312" w:cs="仿宋_GB2312"/>
          <w:highlight w:val="none"/>
        </w:rPr>
        <w:t>低效运转和闲置资产，重点做好城乡供水一体化、</w:t>
      </w:r>
      <w:r>
        <w:rPr>
          <w:rFonts w:hint="eastAsia" w:ascii="仿宋_GB2312" w:hAnsi="仿宋_GB2312" w:cs="仿宋_GB2312"/>
          <w:highlight w:val="none"/>
          <w:lang w:eastAsia="zh-CN"/>
        </w:rPr>
        <w:t>交通枢纽</w:t>
      </w:r>
      <w:r>
        <w:rPr>
          <w:rFonts w:hint="eastAsia" w:ascii="仿宋_GB2312" w:hAnsi="仿宋_GB2312" w:cs="仿宋_GB2312"/>
          <w:highlight w:val="none"/>
        </w:rPr>
        <w:t>、林下经济等特许经营项目</w:t>
      </w:r>
      <w:r>
        <w:rPr>
          <w:rFonts w:hint="eastAsia" w:ascii="仿宋_GB2312" w:hAnsi="仿宋_GB2312" w:cs="仿宋_GB231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highlight w:val="none"/>
        </w:rPr>
        <w:t>提高资产使用效益，增加财政收入现金流。</w:t>
      </w: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2"/>
          <w:szCs w:val="32"/>
          <w:shd w:val="clear" w:fill="FFFFFF"/>
          <w:lang w:eastAsia="zh-CN"/>
        </w:rPr>
        <w:t>四是积极争取上级支持。深入分析研究国家和省市政策，找准与我市发展的结合点，在前瞻性、精准性上多下功夫。密切关注财政部一揽子针对性增量政策，抢抓土地储备专项债券政策“窗口期”，加强向上对接，争取获取更多上级资金支持。</w:t>
      </w:r>
    </w:p>
    <w:p w14:paraId="680DA44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32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-SA"/>
        </w:rPr>
        <w:t>（二）优化支出结构，兜牢民生底线。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一是坚决落实过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紧日子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思想，严格执行过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紧日子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方案。打破支出固化僵化格局，严格预算安排，持续压减一般性、非急需、非刚性支出，严格管控党政机关各项费用开支成本，取消低效、无效支出，集中财力保障重点领域支出，释放更多的财力促进民生事业发展，用政府的“紧日子”换老百姓的“好日子”。二是坚决兜住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三保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底线，助力基层财政平稳运行。严格担起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三保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的主体责任，按照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预算安排优先、资金拨付优先、库款保障优先、国家标准优先、民生保障优先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五个优先原则，科学统筹自有财力和上级补助，努力增收节支，强化预算管理，足额编制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三保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预算，有效保障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三保</w:t>
      </w:r>
      <w:r>
        <w:rPr>
          <w:rFonts w:hint="default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支出。三是加大民生投入，提高基本民生保障水平。助力教育高质量发展，落实学前教育、城乡义务教育、高中教育等教育发展资金，继续落实家庭经济困难学生资助政策，合理优化现有教育资源，全面深化教育高质量发展。严格落实好退休人员基本养老金，优抚对象等人员抚恤和生活补助标准，完善社会改革救助制度，继续做好困难群众救助工作。统筹用好就业补助、职业技能提升等资金资源，加大对重点群体就业的帮扶，推动稳住就业总量。</w:t>
      </w:r>
    </w:p>
    <w:p w14:paraId="58AF339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32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  <w:highlight w:val="none"/>
          <w:lang w:val="en-US" w:eastAsia="zh-CN" w:bidi="ar-SA"/>
        </w:rPr>
        <w:t>（三）健全绩效管理体系，深化财政体制改革。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一是加强预算绩效管理。加快建立全方位、全过程、全覆盖的预算绩效管理体系，</w:t>
      </w: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>全面推进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预算绩效管理。夯实预算绩效管理制度基础，健全绩效为导向的预算分配体系，确保将有限的资金用在刀刃上，最大限度地发挥财政资金效益。二是深化预算管理制度改革。持续推进预算管理一体化改革，坚持先有预算后有支出，严控执行中出台新的增支政策和预算追加事项，把严把紧支出关口。年度执行中新增的临时性、应急性等支出，通过部门经费等现有预算调剂解决。完善预算管理机制，强化资金监管力度，依托一体化系统，加强对政府采购、国债资金等监控，建立完善现代预算制度。三是积</w:t>
      </w:r>
      <w:r>
        <w:rPr>
          <w:rFonts w:hint="eastAsia"/>
          <w:sz w:val="32"/>
          <w:szCs w:val="32"/>
          <w:highlight w:val="none"/>
          <w:lang w:eastAsia="zh-CN"/>
        </w:rPr>
        <w:t>极响应党中央关于健全税收制度、优化财政关系、完善财政事权与支出责任划分等核心改革指导方针，有序推动我市财政体制改革步伐，精细化规范市乡两级收入分享机制，明确各级财政支出的具体责任，确保市乡两级共同财政事权得到有效保障。</w:t>
      </w:r>
    </w:p>
    <w:p w14:paraId="3B7B2AD8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32" w:firstLineChars="200"/>
        <w:jc w:val="left"/>
        <w:textAlignment w:val="auto"/>
        <w:rPr>
          <w:rFonts w:hint="eastAsia" w:ascii="Calibri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  <w:highlight w:val="none"/>
          <w:lang w:val="en-US" w:eastAsia="zh-CN" w:bidi="ar-SA"/>
        </w:rPr>
        <w:t>（四）强化债务管理，妥善化解债务风险。</w:t>
      </w:r>
      <w:r>
        <w:rPr>
          <w:rFonts w:hint="eastAsia" w:ascii="Calibri" w:hAnsi="Calibri" w:eastAsia="仿宋_GB2312" w:cs="Calibri"/>
          <w:kern w:val="2"/>
          <w:sz w:val="32"/>
          <w:szCs w:val="32"/>
          <w:highlight w:val="none"/>
          <w:lang w:val="en-US" w:eastAsia="zh-CN" w:bidi="ar-SA"/>
        </w:rPr>
        <w:t>一是堵后门。严格执行债务管理相关法律法规规定，强化政府投资项目管理，防止通过举借债务上新项目、铺新摊子，坚决遏制隐性债务新增，牢牢堵住政府举债的“后门”。二是开前门。通过预算安排、盘活资产等方式，狠抓存量隐性债务化解，利用国家推出的“6+4+2”万亿元债务化解政策，充分用好债务置换资源，争取更多专项债券，加快解决拖欠企业账款问题，以隐性债务化解成果换法定债务限额空间，拓宽政府融资“前门”。三是守底线。健全常态化债务风险管控机制，通过借新还旧等方式，拉长债务到期时间、降低债务成本，稳控债务到期偿付风险，守好债务风险“不爆雷”底线。</w:t>
      </w:r>
    </w:p>
    <w:p w14:paraId="2733F03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600" w:lineRule="exact"/>
        <w:ind w:left="0" w:leftChars="0" w:right="0" w:rightChars="0" w:firstLine="632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Cs/>
          <w:kern w:val="2"/>
          <w:sz w:val="32"/>
          <w:szCs w:val="32"/>
          <w:highlight w:val="none"/>
          <w:lang w:val="en-US" w:eastAsia="zh-CN" w:bidi="ar-SA"/>
        </w:rPr>
        <w:t>（五）坚持依法理财，接受人大监督。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全面贯彻预算法及其实施条例，主动接受人大监督。贯彻人大预算审查监督重点，落实人大对财政工作审查监督的各项要求，改进预决算草案、预算调整方案等编报工作。积极配合人大开展预算编制及执行情况的审查监督，按标准规范提供人大预算审查监督数据信息。积极主动回应人大代表关切，认真办理代表建议意见，更好服务人大代表依法履职。</w:t>
      </w:r>
    </w:p>
    <w:p w14:paraId="2A2F4D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32" w:firstLineChars="200"/>
        <w:textAlignment w:val="auto"/>
        <w:rPr>
          <w:rFonts w:hint="eastAsia" w:ascii="仿宋_GB2312" w:hAnsi="仿宋_GB2312" w:cs="仿宋_GB2312"/>
          <w:highlight w:val="none"/>
        </w:rPr>
      </w:pPr>
      <w:r>
        <w:rPr>
          <w:rFonts w:hint="eastAsia" w:ascii="仿宋_GB2312" w:hAnsi="仿宋_GB2312" w:cs="仿宋_GB2312"/>
          <w:kern w:val="2"/>
          <w:sz w:val="32"/>
          <w:szCs w:val="32"/>
          <w:highlight w:val="none"/>
          <w:lang w:val="en-US" w:eastAsia="zh-CN" w:bidi="ar-SA"/>
        </w:rPr>
        <w:t>各位代表，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道阻且长，行则将至！</w:t>
      </w:r>
      <w:r>
        <w:rPr>
          <w:rFonts w:hint="eastAsia" w:ascii="仿宋_GB2312" w:hAnsi="仿宋_GB2312" w:cs="仿宋_GB2312"/>
          <w:highlight w:val="none"/>
        </w:rPr>
        <w:t>我们将在市委、市政府的</w:t>
      </w:r>
      <w:r>
        <w:rPr>
          <w:rFonts w:hint="eastAsia" w:ascii="仿宋_GB2312" w:hAnsi="仿宋_GB2312" w:cs="仿宋_GB2312"/>
          <w:highlight w:val="none"/>
          <w:lang w:eastAsia="zh-CN"/>
        </w:rPr>
        <w:t>正确</w:t>
      </w:r>
      <w:r>
        <w:rPr>
          <w:rFonts w:hint="eastAsia" w:ascii="仿宋_GB2312" w:hAnsi="仿宋_GB2312" w:cs="仿宋_GB2312"/>
          <w:highlight w:val="none"/>
        </w:rPr>
        <w:t>领导下，主动接受市人大的监督，</w:t>
      </w:r>
      <w:r>
        <w:rPr>
          <w:rFonts w:hint="eastAsia" w:ascii="仿宋_GB2312" w:hAnsi="仿宋_GB2312" w:cs="仿宋_GB2312"/>
          <w:highlight w:val="none"/>
          <w:lang w:val="en-US" w:eastAsia="zh-CN"/>
        </w:rPr>
        <w:t>牢记嘱托，凝心聚力，实干担当</w:t>
      </w:r>
      <w:r>
        <w:rPr>
          <w:rFonts w:hint="eastAsia" w:ascii="仿宋_GB2312" w:hAnsi="仿宋_GB2312" w:cs="仿宋_GB2312"/>
          <w:highlight w:val="none"/>
        </w:rPr>
        <w:t>，扎实推进财政各项工作</w:t>
      </w:r>
      <w:r>
        <w:rPr>
          <w:rFonts w:hint="eastAsia" w:ascii="仿宋_GB2312" w:hAnsi="仿宋_GB2312" w:cs="仿宋_GB231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highlight w:val="none"/>
        </w:rPr>
        <w:t>为高标准打造区域引领性的绿色经济发展示范区、高质量建成北黄海生态型现代化海滨城市贡献</w:t>
      </w:r>
      <w:r>
        <w:rPr>
          <w:rFonts w:hint="eastAsia" w:ascii="仿宋_GB2312" w:hAnsi="仿宋_GB2312" w:cs="仿宋_GB2312"/>
          <w:highlight w:val="none"/>
          <w:lang w:eastAsia="zh-CN"/>
        </w:rPr>
        <w:t>财政</w:t>
      </w:r>
      <w:r>
        <w:rPr>
          <w:rFonts w:hint="eastAsia" w:ascii="仿宋_GB2312" w:hAnsi="仿宋_GB2312" w:cs="仿宋_GB2312"/>
          <w:highlight w:val="none"/>
        </w:rPr>
        <w:t>力量！</w:t>
      </w:r>
    </w:p>
    <w:p w14:paraId="561E6B46">
      <w:pPr>
        <w:adjustRightInd w:val="0"/>
        <w:snapToGrid w:val="0"/>
        <w:spacing w:line="600" w:lineRule="exact"/>
        <w:ind w:firstLine="632" w:firstLineChars="200"/>
        <w:rPr>
          <w:rFonts w:hint="eastAsia" w:ascii="仿宋_GB2312" w:hAnsi="仿宋_GB2312" w:cs="仿宋_GB2312"/>
        </w:rPr>
      </w:pPr>
    </w:p>
    <w:p w14:paraId="29E389DC">
      <w:pPr>
        <w:adjustRightInd w:val="0"/>
        <w:snapToGrid w:val="0"/>
        <w:spacing w:line="600" w:lineRule="exact"/>
        <w:ind w:firstLine="632" w:firstLineChars="200"/>
        <w:rPr>
          <w:rFonts w:hint="eastAsia" w:ascii="仿宋_GB2312" w:hAnsi="仿宋_GB2312" w:cs="仿宋_GB2312"/>
        </w:rPr>
      </w:pPr>
    </w:p>
    <w:p w14:paraId="22AD6D1F">
      <w:pPr>
        <w:adjustRightInd w:val="0"/>
        <w:snapToGrid w:val="0"/>
        <w:spacing w:line="600" w:lineRule="exact"/>
        <w:ind w:firstLine="632" w:firstLineChars="200"/>
        <w:rPr>
          <w:rFonts w:hint="eastAsia" w:ascii="仿宋_GB2312" w:hAnsi="仿宋_GB2312" w:cs="仿宋_GB2312"/>
        </w:rPr>
      </w:pPr>
    </w:p>
    <w:sectPr>
      <w:footerReference r:id="rId3" w:type="default"/>
      <w:pgSz w:w="11906" w:h="16838"/>
      <w:pgMar w:top="1440" w:right="1800" w:bottom="1440" w:left="1800" w:header="851" w:footer="1361" w:gutter="0"/>
      <w:cols w:space="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39D0D4-604E-49E2-932E-8C8CE9608E0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6624539C-53AF-47BB-BA5B-C5EA4633E32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B4D4D87-163E-4D54-8AC5-F43A143C6512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E76BFE1-D3D4-4CF8-BA37-049638ED228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790626A-EDAE-49D6-BDC5-187033CDAD9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A34B814F-E8EE-4C89-BDE4-3714244A949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5F1B7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5F8AD80">
                          <w:pPr>
                            <w:pStyle w:val="4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15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F8AD80">
                    <w:pPr>
                      <w:pStyle w:val="4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15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oNotHyphenateCaps/>
  <w:drawingGridHorizontalSpacing w:val="158"/>
  <w:drawingGridVerticalSpacing w:val="57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4NWYzMDQ0NjQ1ZTE0MTQ1M2FlZDVjODUxMDdjNjQifQ=="/>
  </w:docVars>
  <w:rsids>
    <w:rsidRoot w:val="000A1287"/>
    <w:rsid w:val="000016FB"/>
    <w:rsid w:val="00001754"/>
    <w:rsid w:val="00003D90"/>
    <w:rsid w:val="00004CC2"/>
    <w:rsid w:val="000051FB"/>
    <w:rsid w:val="00005637"/>
    <w:rsid w:val="00005A66"/>
    <w:rsid w:val="00006576"/>
    <w:rsid w:val="0000784B"/>
    <w:rsid w:val="00012428"/>
    <w:rsid w:val="00013D14"/>
    <w:rsid w:val="000172F3"/>
    <w:rsid w:val="000236F4"/>
    <w:rsid w:val="00031268"/>
    <w:rsid w:val="00034A95"/>
    <w:rsid w:val="000405F3"/>
    <w:rsid w:val="00040E6D"/>
    <w:rsid w:val="000430D9"/>
    <w:rsid w:val="00045C19"/>
    <w:rsid w:val="000462E7"/>
    <w:rsid w:val="000465F0"/>
    <w:rsid w:val="00055A43"/>
    <w:rsid w:val="00063FD9"/>
    <w:rsid w:val="00067656"/>
    <w:rsid w:val="0007082E"/>
    <w:rsid w:val="00073D6A"/>
    <w:rsid w:val="000762B3"/>
    <w:rsid w:val="00080A5F"/>
    <w:rsid w:val="000819FE"/>
    <w:rsid w:val="00084CF6"/>
    <w:rsid w:val="000878D7"/>
    <w:rsid w:val="000926CD"/>
    <w:rsid w:val="00093B76"/>
    <w:rsid w:val="000946FD"/>
    <w:rsid w:val="00095A7D"/>
    <w:rsid w:val="000A1287"/>
    <w:rsid w:val="000A1A3D"/>
    <w:rsid w:val="000A4373"/>
    <w:rsid w:val="000A4F70"/>
    <w:rsid w:val="000A5665"/>
    <w:rsid w:val="000A66D5"/>
    <w:rsid w:val="000B574C"/>
    <w:rsid w:val="000B5C92"/>
    <w:rsid w:val="000C0F03"/>
    <w:rsid w:val="000C3006"/>
    <w:rsid w:val="000C77AC"/>
    <w:rsid w:val="000D0A50"/>
    <w:rsid w:val="000D37B1"/>
    <w:rsid w:val="000D7EA1"/>
    <w:rsid w:val="000E20AD"/>
    <w:rsid w:val="000E43BC"/>
    <w:rsid w:val="000E6B66"/>
    <w:rsid w:val="000F0146"/>
    <w:rsid w:val="000F146C"/>
    <w:rsid w:val="000F176C"/>
    <w:rsid w:val="000F35EF"/>
    <w:rsid w:val="000F58F6"/>
    <w:rsid w:val="00100857"/>
    <w:rsid w:val="00100FDC"/>
    <w:rsid w:val="00101C26"/>
    <w:rsid w:val="00104BCC"/>
    <w:rsid w:val="00105715"/>
    <w:rsid w:val="001112AA"/>
    <w:rsid w:val="00111598"/>
    <w:rsid w:val="00120124"/>
    <w:rsid w:val="00120BB8"/>
    <w:rsid w:val="00124B7C"/>
    <w:rsid w:val="00125A48"/>
    <w:rsid w:val="00130F22"/>
    <w:rsid w:val="001320D8"/>
    <w:rsid w:val="0013283E"/>
    <w:rsid w:val="001337FF"/>
    <w:rsid w:val="00137DA9"/>
    <w:rsid w:val="00142422"/>
    <w:rsid w:val="001479FA"/>
    <w:rsid w:val="001527DA"/>
    <w:rsid w:val="00155B1A"/>
    <w:rsid w:val="00155B3D"/>
    <w:rsid w:val="00157792"/>
    <w:rsid w:val="0016363E"/>
    <w:rsid w:val="00164E98"/>
    <w:rsid w:val="00166BC6"/>
    <w:rsid w:val="0017163C"/>
    <w:rsid w:val="0017248A"/>
    <w:rsid w:val="001753EB"/>
    <w:rsid w:val="00177A6A"/>
    <w:rsid w:val="00177E55"/>
    <w:rsid w:val="0018274C"/>
    <w:rsid w:val="00184276"/>
    <w:rsid w:val="00186351"/>
    <w:rsid w:val="00187F40"/>
    <w:rsid w:val="00190E51"/>
    <w:rsid w:val="0019130B"/>
    <w:rsid w:val="00192C88"/>
    <w:rsid w:val="00193144"/>
    <w:rsid w:val="001974C0"/>
    <w:rsid w:val="001A2ED5"/>
    <w:rsid w:val="001A4EA6"/>
    <w:rsid w:val="001B1297"/>
    <w:rsid w:val="001B394F"/>
    <w:rsid w:val="001C1E63"/>
    <w:rsid w:val="001C2561"/>
    <w:rsid w:val="001C3989"/>
    <w:rsid w:val="001C4BA2"/>
    <w:rsid w:val="001C64B2"/>
    <w:rsid w:val="001C67D2"/>
    <w:rsid w:val="001C702B"/>
    <w:rsid w:val="001D0DD5"/>
    <w:rsid w:val="001D2270"/>
    <w:rsid w:val="001D2EEB"/>
    <w:rsid w:val="001E066A"/>
    <w:rsid w:val="001E57AE"/>
    <w:rsid w:val="001E7F06"/>
    <w:rsid w:val="001F440C"/>
    <w:rsid w:val="00204332"/>
    <w:rsid w:val="00206B43"/>
    <w:rsid w:val="00210054"/>
    <w:rsid w:val="002115E7"/>
    <w:rsid w:val="00211F86"/>
    <w:rsid w:val="00213542"/>
    <w:rsid w:val="0021669E"/>
    <w:rsid w:val="002174F9"/>
    <w:rsid w:val="00234F5D"/>
    <w:rsid w:val="00234FFE"/>
    <w:rsid w:val="0023726B"/>
    <w:rsid w:val="00241EF6"/>
    <w:rsid w:val="00242712"/>
    <w:rsid w:val="00247D1C"/>
    <w:rsid w:val="0025062D"/>
    <w:rsid w:val="00250FD8"/>
    <w:rsid w:val="0025120E"/>
    <w:rsid w:val="00254829"/>
    <w:rsid w:val="0025560D"/>
    <w:rsid w:val="00256618"/>
    <w:rsid w:val="00257ABC"/>
    <w:rsid w:val="00261933"/>
    <w:rsid w:val="00262D55"/>
    <w:rsid w:val="002638B3"/>
    <w:rsid w:val="00270815"/>
    <w:rsid w:val="00277CBE"/>
    <w:rsid w:val="00277ED1"/>
    <w:rsid w:val="00280604"/>
    <w:rsid w:val="00283656"/>
    <w:rsid w:val="00290789"/>
    <w:rsid w:val="002918CF"/>
    <w:rsid w:val="002932DE"/>
    <w:rsid w:val="002942AC"/>
    <w:rsid w:val="00294458"/>
    <w:rsid w:val="00294479"/>
    <w:rsid w:val="00294B57"/>
    <w:rsid w:val="0029713C"/>
    <w:rsid w:val="002A0F11"/>
    <w:rsid w:val="002A0FDA"/>
    <w:rsid w:val="002A2BD0"/>
    <w:rsid w:val="002A2EF9"/>
    <w:rsid w:val="002A3DCC"/>
    <w:rsid w:val="002A5295"/>
    <w:rsid w:val="002A5BBF"/>
    <w:rsid w:val="002A6A6F"/>
    <w:rsid w:val="002A6F97"/>
    <w:rsid w:val="002B06CF"/>
    <w:rsid w:val="002B64C6"/>
    <w:rsid w:val="002C01E9"/>
    <w:rsid w:val="002D1FF8"/>
    <w:rsid w:val="002D22F6"/>
    <w:rsid w:val="002D40B0"/>
    <w:rsid w:val="002D5319"/>
    <w:rsid w:val="002E5750"/>
    <w:rsid w:val="002E59E1"/>
    <w:rsid w:val="002F12BE"/>
    <w:rsid w:val="002F2A6D"/>
    <w:rsid w:val="00300436"/>
    <w:rsid w:val="0030109D"/>
    <w:rsid w:val="003069FF"/>
    <w:rsid w:val="00307094"/>
    <w:rsid w:val="00307539"/>
    <w:rsid w:val="0031052C"/>
    <w:rsid w:val="00314651"/>
    <w:rsid w:val="0031510B"/>
    <w:rsid w:val="00321286"/>
    <w:rsid w:val="00321E29"/>
    <w:rsid w:val="003220A4"/>
    <w:rsid w:val="00322360"/>
    <w:rsid w:val="00326A40"/>
    <w:rsid w:val="00327367"/>
    <w:rsid w:val="0033118E"/>
    <w:rsid w:val="00332B9E"/>
    <w:rsid w:val="00335574"/>
    <w:rsid w:val="00352883"/>
    <w:rsid w:val="00353F67"/>
    <w:rsid w:val="00362503"/>
    <w:rsid w:val="003663CC"/>
    <w:rsid w:val="003664B7"/>
    <w:rsid w:val="003706AC"/>
    <w:rsid w:val="00370B5A"/>
    <w:rsid w:val="003712B5"/>
    <w:rsid w:val="003723A3"/>
    <w:rsid w:val="003734BB"/>
    <w:rsid w:val="00373992"/>
    <w:rsid w:val="003819BC"/>
    <w:rsid w:val="003850D8"/>
    <w:rsid w:val="0038616E"/>
    <w:rsid w:val="003876FC"/>
    <w:rsid w:val="003879F2"/>
    <w:rsid w:val="0039184D"/>
    <w:rsid w:val="003933DA"/>
    <w:rsid w:val="00396449"/>
    <w:rsid w:val="00396EE4"/>
    <w:rsid w:val="003A1566"/>
    <w:rsid w:val="003A30C5"/>
    <w:rsid w:val="003A71DA"/>
    <w:rsid w:val="003B1B7C"/>
    <w:rsid w:val="003B2CF4"/>
    <w:rsid w:val="003C04B2"/>
    <w:rsid w:val="003C096A"/>
    <w:rsid w:val="003D15A2"/>
    <w:rsid w:val="003D35D8"/>
    <w:rsid w:val="003D434C"/>
    <w:rsid w:val="003D58D7"/>
    <w:rsid w:val="003E1389"/>
    <w:rsid w:val="003E3ADD"/>
    <w:rsid w:val="003E4E2C"/>
    <w:rsid w:val="003F07CE"/>
    <w:rsid w:val="003F5CA4"/>
    <w:rsid w:val="00400E7E"/>
    <w:rsid w:val="00401516"/>
    <w:rsid w:val="0040183B"/>
    <w:rsid w:val="0040335B"/>
    <w:rsid w:val="00403760"/>
    <w:rsid w:val="0040577D"/>
    <w:rsid w:val="00407533"/>
    <w:rsid w:val="00407C82"/>
    <w:rsid w:val="0041075E"/>
    <w:rsid w:val="004136B6"/>
    <w:rsid w:val="00414D2C"/>
    <w:rsid w:val="00415721"/>
    <w:rsid w:val="004206A1"/>
    <w:rsid w:val="004257B1"/>
    <w:rsid w:val="004263C3"/>
    <w:rsid w:val="004318CB"/>
    <w:rsid w:val="00436918"/>
    <w:rsid w:val="0044105C"/>
    <w:rsid w:val="004419F4"/>
    <w:rsid w:val="0044415E"/>
    <w:rsid w:val="004547B8"/>
    <w:rsid w:val="00457AF1"/>
    <w:rsid w:val="00460C5F"/>
    <w:rsid w:val="00460D3C"/>
    <w:rsid w:val="004627C3"/>
    <w:rsid w:val="00463DC8"/>
    <w:rsid w:val="00466DB2"/>
    <w:rsid w:val="00467DAA"/>
    <w:rsid w:val="00467F94"/>
    <w:rsid w:val="00470DEF"/>
    <w:rsid w:val="00472BBF"/>
    <w:rsid w:val="00477914"/>
    <w:rsid w:val="00481629"/>
    <w:rsid w:val="0048698D"/>
    <w:rsid w:val="00491AFB"/>
    <w:rsid w:val="00491F22"/>
    <w:rsid w:val="004933FA"/>
    <w:rsid w:val="00495582"/>
    <w:rsid w:val="004A091F"/>
    <w:rsid w:val="004A3E87"/>
    <w:rsid w:val="004A6C1F"/>
    <w:rsid w:val="004B17E2"/>
    <w:rsid w:val="004B559A"/>
    <w:rsid w:val="004B5F06"/>
    <w:rsid w:val="004B6D7B"/>
    <w:rsid w:val="004C0279"/>
    <w:rsid w:val="004C05D2"/>
    <w:rsid w:val="004C40AC"/>
    <w:rsid w:val="004D0F21"/>
    <w:rsid w:val="004D4792"/>
    <w:rsid w:val="004D565E"/>
    <w:rsid w:val="004E30E0"/>
    <w:rsid w:val="004E386C"/>
    <w:rsid w:val="004E77A8"/>
    <w:rsid w:val="004F0F39"/>
    <w:rsid w:val="004F480A"/>
    <w:rsid w:val="004F49AC"/>
    <w:rsid w:val="004F72F7"/>
    <w:rsid w:val="005071A1"/>
    <w:rsid w:val="00510757"/>
    <w:rsid w:val="00511F65"/>
    <w:rsid w:val="00513941"/>
    <w:rsid w:val="00513E7B"/>
    <w:rsid w:val="00514EF2"/>
    <w:rsid w:val="005250ED"/>
    <w:rsid w:val="005260BA"/>
    <w:rsid w:val="005265C1"/>
    <w:rsid w:val="00532718"/>
    <w:rsid w:val="00532989"/>
    <w:rsid w:val="00533F33"/>
    <w:rsid w:val="00535998"/>
    <w:rsid w:val="005364E6"/>
    <w:rsid w:val="00541780"/>
    <w:rsid w:val="00542D23"/>
    <w:rsid w:val="00547CE8"/>
    <w:rsid w:val="00550478"/>
    <w:rsid w:val="00550827"/>
    <w:rsid w:val="0055191A"/>
    <w:rsid w:val="00551CC7"/>
    <w:rsid w:val="00552A63"/>
    <w:rsid w:val="00552D41"/>
    <w:rsid w:val="00553BFD"/>
    <w:rsid w:val="005568C1"/>
    <w:rsid w:val="005571E5"/>
    <w:rsid w:val="0056020B"/>
    <w:rsid w:val="00564B9A"/>
    <w:rsid w:val="00565D8D"/>
    <w:rsid w:val="00565EC3"/>
    <w:rsid w:val="0056606F"/>
    <w:rsid w:val="005660FB"/>
    <w:rsid w:val="00570D57"/>
    <w:rsid w:val="00572874"/>
    <w:rsid w:val="005744E0"/>
    <w:rsid w:val="00582A70"/>
    <w:rsid w:val="00586465"/>
    <w:rsid w:val="00591C37"/>
    <w:rsid w:val="005949F9"/>
    <w:rsid w:val="00594B54"/>
    <w:rsid w:val="00596022"/>
    <w:rsid w:val="005963AD"/>
    <w:rsid w:val="005965E5"/>
    <w:rsid w:val="005A0277"/>
    <w:rsid w:val="005A0BAD"/>
    <w:rsid w:val="005A598C"/>
    <w:rsid w:val="005A604E"/>
    <w:rsid w:val="005A6BE9"/>
    <w:rsid w:val="005B00CA"/>
    <w:rsid w:val="005B14F6"/>
    <w:rsid w:val="005B4C73"/>
    <w:rsid w:val="005B6925"/>
    <w:rsid w:val="005C35FD"/>
    <w:rsid w:val="005C425D"/>
    <w:rsid w:val="005D357B"/>
    <w:rsid w:val="005E0126"/>
    <w:rsid w:val="005E2BB6"/>
    <w:rsid w:val="005E3C3E"/>
    <w:rsid w:val="005E3E1A"/>
    <w:rsid w:val="005E6858"/>
    <w:rsid w:val="005E7029"/>
    <w:rsid w:val="005E73A3"/>
    <w:rsid w:val="005F1247"/>
    <w:rsid w:val="005F3069"/>
    <w:rsid w:val="005F70C0"/>
    <w:rsid w:val="006021F5"/>
    <w:rsid w:val="00607506"/>
    <w:rsid w:val="0060754B"/>
    <w:rsid w:val="0061010D"/>
    <w:rsid w:val="00610F67"/>
    <w:rsid w:val="00611742"/>
    <w:rsid w:val="0061487B"/>
    <w:rsid w:val="00620E6E"/>
    <w:rsid w:val="00623198"/>
    <w:rsid w:val="00623D62"/>
    <w:rsid w:val="00624F95"/>
    <w:rsid w:val="006258A7"/>
    <w:rsid w:val="00626CB8"/>
    <w:rsid w:val="00632F02"/>
    <w:rsid w:val="00633F85"/>
    <w:rsid w:val="006347A6"/>
    <w:rsid w:val="00636BD4"/>
    <w:rsid w:val="00636E5C"/>
    <w:rsid w:val="00637594"/>
    <w:rsid w:val="0064305D"/>
    <w:rsid w:val="00644CF1"/>
    <w:rsid w:val="00647420"/>
    <w:rsid w:val="0065162D"/>
    <w:rsid w:val="00656067"/>
    <w:rsid w:val="006566FD"/>
    <w:rsid w:val="00661D3B"/>
    <w:rsid w:val="00663E35"/>
    <w:rsid w:val="006642A5"/>
    <w:rsid w:val="00665AA1"/>
    <w:rsid w:val="00673382"/>
    <w:rsid w:val="0067393C"/>
    <w:rsid w:val="0068240E"/>
    <w:rsid w:val="006828A3"/>
    <w:rsid w:val="00687D80"/>
    <w:rsid w:val="006904BA"/>
    <w:rsid w:val="00691CDE"/>
    <w:rsid w:val="00693304"/>
    <w:rsid w:val="0069564B"/>
    <w:rsid w:val="00695943"/>
    <w:rsid w:val="00697541"/>
    <w:rsid w:val="006A442A"/>
    <w:rsid w:val="006C0966"/>
    <w:rsid w:val="006D3B17"/>
    <w:rsid w:val="006D3C53"/>
    <w:rsid w:val="006D4368"/>
    <w:rsid w:val="006D4D6F"/>
    <w:rsid w:val="006D5EDA"/>
    <w:rsid w:val="006E1573"/>
    <w:rsid w:val="006E5000"/>
    <w:rsid w:val="006F72EF"/>
    <w:rsid w:val="007061D2"/>
    <w:rsid w:val="007111AC"/>
    <w:rsid w:val="00721F32"/>
    <w:rsid w:val="007229A2"/>
    <w:rsid w:val="0073088C"/>
    <w:rsid w:val="00731BBF"/>
    <w:rsid w:val="007321F9"/>
    <w:rsid w:val="00733455"/>
    <w:rsid w:val="00736C89"/>
    <w:rsid w:val="00737056"/>
    <w:rsid w:val="0073791D"/>
    <w:rsid w:val="00740963"/>
    <w:rsid w:val="00740B54"/>
    <w:rsid w:val="00740D22"/>
    <w:rsid w:val="0074339F"/>
    <w:rsid w:val="00745B0C"/>
    <w:rsid w:val="007475EC"/>
    <w:rsid w:val="00751509"/>
    <w:rsid w:val="00752875"/>
    <w:rsid w:val="007558B2"/>
    <w:rsid w:val="00760AC4"/>
    <w:rsid w:val="00760CAD"/>
    <w:rsid w:val="007626C1"/>
    <w:rsid w:val="00763AC3"/>
    <w:rsid w:val="0076746A"/>
    <w:rsid w:val="00767906"/>
    <w:rsid w:val="00771257"/>
    <w:rsid w:val="0077280D"/>
    <w:rsid w:val="00773EBD"/>
    <w:rsid w:val="0077407E"/>
    <w:rsid w:val="00775357"/>
    <w:rsid w:val="00775375"/>
    <w:rsid w:val="0077784E"/>
    <w:rsid w:val="00781454"/>
    <w:rsid w:val="0078239E"/>
    <w:rsid w:val="007844CD"/>
    <w:rsid w:val="007855AC"/>
    <w:rsid w:val="00786AAE"/>
    <w:rsid w:val="00791D1C"/>
    <w:rsid w:val="00794A18"/>
    <w:rsid w:val="00794DB0"/>
    <w:rsid w:val="007960EA"/>
    <w:rsid w:val="00796C88"/>
    <w:rsid w:val="00796EB7"/>
    <w:rsid w:val="00797395"/>
    <w:rsid w:val="007975F5"/>
    <w:rsid w:val="007A3DA6"/>
    <w:rsid w:val="007A44C8"/>
    <w:rsid w:val="007B0B4A"/>
    <w:rsid w:val="007B2338"/>
    <w:rsid w:val="007C0AC8"/>
    <w:rsid w:val="007C1775"/>
    <w:rsid w:val="007C1783"/>
    <w:rsid w:val="007C29B2"/>
    <w:rsid w:val="007C42CC"/>
    <w:rsid w:val="007C5D7A"/>
    <w:rsid w:val="007C602D"/>
    <w:rsid w:val="007D03D3"/>
    <w:rsid w:val="007D1904"/>
    <w:rsid w:val="007D248D"/>
    <w:rsid w:val="007D26CC"/>
    <w:rsid w:val="007D32CB"/>
    <w:rsid w:val="007E06A1"/>
    <w:rsid w:val="007E1658"/>
    <w:rsid w:val="007E18BF"/>
    <w:rsid w:val="007E507B"/>
    <w:rsid w:val="007F130D"/>
    <w:rsid w:val="007F649B"/>
    <w:rsid w:val="007F753E"/>
    <w:rsid w:val="007F7CC0"/>
    <w:rsid w:val="008021C2"/>
    <w:rsid w:val="008039E0"/>
    <w:rsid w:val="00805C41"/>
    <w:rsid w:val="0080706C"/>
    <w:rsid w:val="0080728C"/>
    <w:rsid w:val="008113C2"/>
    <w:rsid w:val="00816E66"/>
    <w:rsid w:val="008222DA"/>
    <w:rsid w:val="00822D66"/>
    <w:rsid w:val="008237DC"/>
    <w:rsid w:val="00823B3C"/>
    <w:rsid w:val="00834384"/>
    <w:rsid w:val="008351ED"/>
    <w:rsid w:val="0083521D"/>
    <w:rsid w:val="00835A90"/>
    <w:rsid w:val="00836859"/>
    <w:rsid w:val="008417B7"/>
    <w:rsid w:val="0084206D"/>
    <w:rsid w:val="0084214D"/>
    <w:rsid w:val="008433FC"/>
    <w:rsid w:val="00845192"/>
    <w:rsid w:val="00847833"/>
    <w:rsid w:val="00850A0C"/>
    <w:rsid w:val="00852486"/>
    <w:rsid w:val="00855896"/>
    <w:rsid w:val="0085669B"/>
    <w:rsid w:val="00856865"/>
    <w:rsid w:val="00862D07"/>
    <w:rsid w:val="00864CBC"/>
    <w:rsid w:val="00872068"/>
    <w:rsid w:val="0087531D"/>
    <w:rsid w:val="00877AE3"/>
    <w:rsid w:val="00882E88"/>
    <w:rsid w:val="00886CA5"/>
    <w:rsid w:val="00891048"/>
    <w:rsid w:val="00893342"/>
    <w:rsid w:val="00893ACA"/>
    <w:rsid w:val="008A0150"/>
    <w:rsid w:val="008A30C6"/>
    <w:rsid w:val="008A52A9"/>
    <w:rsid w:val="008A682C"/>
    <w:rsid w:val="008B1896"/>
    <w:rsid w:val="008B2865"/>
    <w:rsid w:val="008C035C"/>
    <w:rsid w:val="008C177B"/>
    <w:rsid w:val="008C30F7"/>
    <w:rsid w:val="008C3D50"/>
    <w:rsid w:val="008C4413"/>
    <w:rsid w:val="008D0729"/>
    <w:rsid w:val="008D346B"/>
    <w:rsid w:val="008D3780"/>
    <w:rsid w:val="008D4EA8"/>
    <w:rsid w:val="008E2B44"/>
    <w:rsid w:val="008E4BEE"/>
    <w:rsid w:val="008E5C9C"/>
    <w:rsid w:val="008F126F"/>
    <w:rsid w:val="008F5625"/>
    <w:rsid w:val="009059BC"/>
    <w:rsid w:val="00915D6B"/>
    <w:rsid w:val="00920B8A"/>
    <w:rsid w:val="009214E1"/>
    <w:rsid w:val="00925327"/>
    <w:rsid w:val="009258C8"/>
    <w:rsid w:val="0093007A"/>
    <w:rsid w:val="00935666"/>
    <w:rsid w:val="00944156"/>
    <w:rsid w:val="00944511"/>
    <w:rsid w:val="00945D2E"/>
    <w:rsid w:val="00945DA2"/>
    <w:rsid w:val="00946643"/>
    <w:rsid w:val="00952E51"/>
    <w:rsid w:val="0095597C"/>
    <w:rsid w:val="00956435"/>
    <w:rsid w:val="00956908"/>
    <w:rsid w:val="00956AE1"/>
    <w:rsid w:val="0096015F"/>
    <w:rsid w:val="009677A4"/>
    <w:rsid w:val="00970CE4"/>
    <w:rsid w:val="00970E87"/>
    <w:rsid w:val="0097339B"/>
    <w:rsid w:val="0097429E"/>
    <w:rsid w:val="00976647"/>
    <w:rsid w:val="009845EB"/>
    <w:rsid w:val="009846DF"/>
    <w:rsid w:val="0098517E"/>
    <w:rsid w:val="00986411"/>
    <w:rsid w:val="00986E95"/>
    <w:rsid w:val="00990B42"/>
    <w:rsid w:val="00992CCF"/>
    <w:rsid w:val="009949A4"/>
    <w:rsid w:val="00996638"/>
    <w:rsid w:val="00997520"/>
    <w:rsid w:val="009A1C4B"/>
    <w:rsid w:val="009A2333"/>
    <w:rsid w:val="009A24A2"/>
    <w:rsid w:val="009A3725"/>
    <w:rsid w:val="009A3BB6"/>
    <w:rsid w:val="009A4690"/>
    <w:rsid w:val="009A5E42"/>
    <w:rsid w:val="009A600D"/>
    <w:rsid w:val="009B4970"/>
    <w:rsid w:val="009B49C3"/>
    <w:rsid w:val="009B5A8E"/>
    <w:rsid w:val="009B66C8"/>
    <w:rsid w:val="009B75E6"/>
    <w:rsid w:val="009B7B42"/>
    <w:rsid w:val="009C15AB"/>
    <w:rsid w:val="009C160A"/>
    <w:rsid w:val="009C376D"/>
    <w:rsid w:val="009C4D6F"/>
    <w:rsid w:val="009C5326"/>
    <w:rsid w:val="009C536F"/>
    <w:rsid w:val="009C56AF"/>
    <w:rsid w:val="009C5943"/>
    <w:rsid w:val="009C69CC"/>
    <w:rsid w:val="009C6F50"/>
    <w:rsid w:val="009D21BE"/>
    <w:rsid w:val="009D3CE8"/>
    <w:rsid w:val="009D7F5D"/>
    <w:rsid w:val="009E06FC"/>
    <w:rsid w:val="009E2620"/>
    <w:rsid w:val="009E47A4"/>
    <w:rsid w:val="009E6A83"/>
    <w:rsid w:val="009E78C0"/>
    <w:rsid w:val="009F132F"/>
    <w:rsid w:val="009F260E"/>
    <w:rsid w:val="009F406E"/>
    <w:rsid w:val="009F416F"/>
    <w:rsid w:val="009F4EA7"/>
    <w:rsid w:val="00A00791"/>
    <w:rsid w:val="00A02BD4"/>
    <w:rsid w:val="00A03403"/>
    <w:rsid w:val="00A0668B"/>
    <w:rsid w:val="00A0673C"/>
    <w:rsid w:val="00A10EC5"/>
    <w:rsid w:val="00A132B2"/>
    <w:rsid w:val="00A14237"/>
    <w:rsid w:val="00A15653"/>
    <w:rsid w:val="00A15C56"/>
    <w:rsid w:val="00A21514"/>
    <w:rsid w:val="00A2795C"/>
    <w:rsid w:val="00A310FE"/>
    <w:rsid w:val="00A3205B"/>
    <w:rsid w:val="00A33A50"/>
    <w:rsid w:val="00A35E4B"/>
    <w:rsid w:val="00A378FC"/>
    <w:rsid w:val="00A41CC5"/>
    <w:rsid w:val="00A44676"/>
    <w:rsid w:val="00A44BE7"/>
    <w:rsid w:val="00A44D3C"/>
    <w:rsid w:val="00A47036"/>
    <w:rsid w:val="00A4754B"/>
    <w:rsid w:val="00A50076"/>
    <w:rsid w:val="00A513CD"/>
    <w:rsid w:val="00A557EA"/>
    <w:rsid w:val="00A55974"/>
    <w:rsid w:val="00A576D9"/>
    <w:rsid w:val="00A60ED7"/>
    <w:rsid w:val="00A619AE"/>
    <w:rsid w:val="00A62205"/>
    <w:rsid w:val="00A65991"/>
    <w:rsid w:val="00A71144"/>
    <w:rsid w:val="00A7119B"/>
    <w:rsid w:val="00A73368"/>
    <w:rsid w:val="00A75C13"/>
    <w:rsid w:val="00A80B49"/>
    <w:rsid w:val="00A84D37"/>
    <w:rsid w:val="00A8533C"/>
    <w:rsid w:val="00A876A5"/>
    <w:rsid w:val="00A901FA"/>
    <w:rsid w:val="00A930D6"/>
    <w:rsid w:val="00A95716"/>
    <w:rsid w:val="00A96052"/>
    <w:rsid w:val="00A96719"/>
    <w:rsid w:val="00A969E1"/>
    <w:rsid w:val="00AA4956"/>
    <w:rsid w:val="00AA67F5"/>
    <w:rsid w:val="00AA6AA5"/>
    <w:rsid w:val="00AB021D"/>
    <w:rsid w:val="00AB1504"/>
    <w:rsid w:val="00AB34A0"/>
    <w:rsid w:val="00AB4C4A"/>
    <w:rsid w:val="00AB4FF1"/>
    <w:rsid w:val="00AB5CBF"/>
    <w:rsid w:val="00AC1070"/>
    <w:rsid w:val="00AC6128"/>
    <w:rsid w:val="00AC77B8"/>
    <w:rsid w:val="00AD0573"/>
    <w:rsid w:val="00AD2D08"/>
    <w:rsid w:val="00AD3903"/>
    <w:rsid w:val="00AD60A8"/>
    <w:rsid w:val="00AD7897"/>
    <w:rsid w:val="00AE2CD0"/>
    <w:rsid w:val="00AE4537"/>
    <w:rsid w:val="00AF1577"/>
    <w:rsid w:val="00AF3462"/>
    <w:rsid w:val="00B003C1"/>
    <w:rsid w:val="00B00A7F"/>
    <w:rsid w:val="00B046B5"/>
    <w:rsid w:val="00B060F3"/>
    <w:rsid w:val="00B0760D"/>
    <w:rsid w:val="00B07C45"/>
    <w:rsid w:val="00B110A6"/>
    <w:rsid w:val="00B113EC"/>
    <w:rsid w:val="00B119A5"/>
    <w:rsid w:val="00B11D89"/>
    <w:rsid w:val="00B13D88"/>
    <w:rsid w:val="00B140C6"/>
    <w:rsid w:val="00B14F12"/>
    <w:rsid w:val="00B1745B"/>
    <w:rsid w:val="00B179B1"/>
    <w:rsid w:val="00B2143F"/>
    <w:rsid w:val="00B22709"/>
    <w:rsid w:val="00B22719"/>
    <w:rsid w:val="00B22DF9"/>
    <w:rsid w:val="00B24C6A"/>
    <w:rsid w:val="00B3183A"/>
    <w:rsid w:val="00B3282E"/>
    <w:rsid w:val="00B3422E"/>
    <w:rsid w:val="00B350A2"/>
    <w:rsid w:val="00B35A5E"/>
    <w:rsid w:val="00B366E7"/>
    <w:rsid w:val="00B3727E"/>
    <w:rsid w:val="00B4164E"/>
    <w:rsid w:val="00B43493"/>
    <w:rsid w:val="00B451B4"/>
    <w:rsid w:val="00B4521D"/>
    <w:rsid w:val="00B45528"/>
    <w:rsid w:val="00B50656"/>
    <w:rsid w:val="00B50802"/>
    <w:rsid w:val="00B52207"/>
    <w:rsid w:val="00B5566E"/>
    <w:rsid w:val="00B55AFA"/>
    <w:rsid w:val="00B56B0C"/>
    <w:rsid w:val="00B63204"/>
    <w:rsid w:val="00B65E7A"/>
    <w:rsid w:val="00B66F4B"/>
    <w:rsid w:val="00B70F09"/>
    <w:rsid w:val="00B75724"/>
    <w:rsid w:val="00B75E1E"/>
    <w:rsid w:val="00B76095"/>
    <w:rsid w:val="00B77113"/>
    <w:rsid w:val="00B806D4"/>
    <w:rsid w:val="00B83D21"/>
    <w:rsid w:val="00B84E60"/>
    <w:rsid w:val="00B851A5"/>
    <w:rsid w:val="00B907A2"/>
    <w:rsid w:val="00B91E8B"/>
    <w:rsid w:val="00B94D06"/>
    <w:rsid w:val="00B9725A"/>
    <w:rsid w:val="00B97AA0"/>
    <w:rsid w:val="00BA10DE"/>
    <w:rsid w:val="00BA14C8"/>
    <w:rsid w:val="00BA186E"/>
    <w:rsid w:val="00BA255D"/>
    <w:rsid w:val="00BA5FA2"/>
    <w:rsid w:val="00BA6683"/>
    <w:rsid w:val="00BB1007"/>
    <w:rsid w:val="00BB2672"/>
    <w:rsid w:val="00BB3AA1"/>
    <w:rsid w:val="00BB5343"/>
    <w:rsid w:val="00BC00DF"/>
    <w:rsid w:val="00BC1D82"/>
    <w:rsid w:val="00BC3417"/>
    <w:rsid w:val="00BC3646"/>
    <w:rsid w:val="00BC6837"/>
    <w:rsid w:val="00BC73E2"/>
    <w:rsid w:val="00BC7AE9"/>
    <w:rsid w:val="00BC7D18"/>
    <w:rsid w:val="00BD005C"/>
    <w:rsid w:val="00BD7B42"/>
    <w:rsid w:val="00BE3BFE"/>
    <w:rsid w:val="00BE3F02"/>
    <w:rsid w:val="00BE45F6"/>
    <w:rsid w:val="00BE6732"/>
    <w:rsid w:val="00BF14CB"/>
    <w:rsid w:val="00BF2651"/>
    <w:rsid w:val="00BF523D"/>
    <w:rsid w:val="00BF6EC9"/>
    <w:rsid w:val="00C00A3F"/>
    <w:rsid w:val="00C01154"/>
    <w:rsid w:val="00C02263"/>
    <w:rsid w:val="00C02C66"/>
    <w:rsid w:val="00C039C7"/>
    <w:rsid w:val="00C05F6F"/>
    <w:rsid w:val="00C10054"/>
    <w:rsid w:val="00C112FF"/>
    <w:rsid w:val="00C11A09"/>
    <w:rsid w:val="00C160D4"/>
    <w:rsid w:val="00C17630"/>
    <w:rsid w:val="00C22096"/>
    <w:rsid w:val="00C22826"/>
    <w:rsid w:val="00C22AFB"/>
    <w:rsid w:val="00C23F9C"/>
    <w:rsid w:val="00C2643D"/>
    <w:rsid w:val="00C33008"/>
    <w:rsid w:val="00C350A4"/>
    <w:rsid w:val="00C3712B"/>
    <w:rsid w:val="00C37175"/>
    <w:rsid w:val="00C45146"/>
    <w:rsid w:val="00C45850"/>
    <w:rsid w:val="00C45BF8"/>
    <w:rsid w:val="00C51034"/>
    <w:rsid w:val="00C53C94"/>
    <w:rsid w:val="00C53FA1"/>
    <w:rsid w:val="00C576F6"/>
    <w:rsid w:val="00C607A2"/>
    <w:rsid w:val="00C61731"/>
    <w:rsid w:val="00C667D4"/>
    <w:rsid w:val="00C66DFE"/>
    <w:rsid w:val="00C6788D"/>
    <w:rsid w:val="00C67B93"/>
    <w:rsid w:val="00C704B6"/>
    <w:rsid w:val="00C7131C"/>
    <w:rsid w:val="00C74F04"/>
    <w:rsid w:val="00C77135"/>
    <w:rsid w:val="00C80B37"/>
    <w:rsid w:val="00C81D1E"/>
    <w:rsid w:val="00C83413"/>
    <w:rsid w:val="00C865D9"/>
    <w:rsid w:val="00C90EF8"/>
    <w:rsid w:val="00C93089"/>
    <w:rsid w:val="00C94F6A"/>
    <w:rsid w:val="00C966E6"/>
    <w:rsid w:val="00C96CDA"/>
    <w:rsid w:val="00C96FF4"/>
    <w:rsid w:val="00CA44C7"/>
    <w:rsid w:val="00CA4D95"/>
    <w:rsid w:val="00CA746E"/>
    <w:rsid w:val="00CA775F"/>
    <w:rsid w:val="00CA7A5B"/>
    <w:rsid w:val="00CB00E0"/>
    <w:rsid w:val="00CB0608"/>
    <w:rsid w:val="00CB0989"/>
    <w:rsid w:val="00CB1160"/>
    <w:rsid w:val="00CB26B2"/>
    <w:rsid w:val="00CB5D98"/>
    <w:rsid w:val="00CB6DAD"/>
    <w:rsid w:val="00CC120F"/>
    <w:rsid w:val="00CC16E4"/>
    <w:rsid w:val="00CC4768"/>
    <w:rsid w:val="00CC57E9"/>
    <w:rsid w:val="00CD1436"/>
    <w:rsid w:val="00CD29C1"/>
    <w:rsid w:val="00CE0338"/>
    <w:rsid w:val="00CE179C"/>
    <w:rsid w:val="00CE2EDB"/>
    <w:rsid w:val="00CE30B3"/>
    <w:rsid w:val="00CE7550"/>
    <w:rsid w:val="00CF1038"/>
    <w:rsid w:val="00CF30DF"/>
    <w:rsid w:val="00CF6724"/>
    <w:rsid w:val="00CF6875"/>
    <w:rsid w:val="00CF7371"/>
    <w:rsid w:val="00D00114"/>
    <w:rsid w:val="00D01648"/>
    <w:rsid w:val="00D024F4"/>
    <w:rsid w:val="00D029A5"/>
    <w:rsid w:val="00D029EE"/>
    <w:rsid w:val="00D07A9C"/>
    <w:rsid w:val="00D100C6"/>
    <w:rsid w:val="00D106D3"/>
    <w:rsid w:val="00D10D4A"/>
    <w:rsid w:val="00D1104D"/>
    <w:rsid w:val="00D13F98"/>
    <w:rsid w:val="00D15A2E"/>
    <w:rsid w:val="00D15A96"/>
    <w:rsid w:val="00D212B2"/>
    <w:rsid w:val="00D22C3F"/>
    <w:rsid w:val="00D23992"/>
    <w:rsid w:val="00D25AB1"/>
    <w:rsid w:val="00D26059"/>
    <w:rsid w:val="00D30BEF"/>
    <w:rsid w:val="00D31B66"/>
    <w:rsid w:val="00D35DF9"/>
    <w:rsid w:val="00D36C0F"/>
    <w:rsid w:val="00D37116"/>
    <w:rsid w:val="00D44426"/>
    <w:rsid w:val="00D4679C"/>
    <w:rsid w:val="00D46E99"/>
    <w:rsid w:val="00D50874"/>
    <w:rsid w:val="00D546DD"/>
    <w:rsid w:val="00D54954"/>
    <w:rsid w:val="00D55C4F"/>
    <w:rsid w:val="00D615C7"/>
    <w:rsid w:val="00D640BB"/>
    <w:rsid w:val="00D643CC"/>
    <w:rsid w:val="00D709F1"/>
    <w:rsid w:val="00D754FF"/>
    <w:rsid w:val="00D75EBA"/>
    <w:rsid w:val="00D776A6"/>
    <w:rsid w:val="00D83057"/>
    <w:rsid w:val="00D8440D"/>
    <w:rsid w:val="00D8474D"/>
    <w:rsid w:val="00D874CF"/>
    <w:rsid w:val="00D87672"/>
    <w:rsid w:val="00D87EB4"/>
    <w:rsid w:val="00D920A2"/>
    <w:rsid w:val="00D94E57"/>
    <w:rsid w:val="00D9623F"/>
    <w:rsid w:val="00D96476"/>
    <w:rsid w:val="00DA2448"/>
    <w:rsid w:val="00DA26D5"/>
    <w:rsid w:val="00DB01F3"/>
    <w:rsid w:val="00DB281F"/>
    <w:rsid w:val="00DB55D3"/>
    <w:rsid w:val="00DB7D52"/>
    <w:rsid w:val="00DC0FF2"/>
    <w:rsid w:val="00DD2679"/>
    <w:rsid w:val="00DD3732"/>
    <w:rsid w:val="00DE4C0A"/>
    <w:rsid w:val="00DE7FCC"/>
    <w:rsid w:val="00DF1254"/>
    <w:rsid w:val="00DF2A49"/>
    <w:rsid w:val="00DF742B"/>
    <w:rsid w:val="00E00C88"/>
    <w:rsid w:val="00E04D37"/>
    <w:rsid w:val="00E07DD6"/>
    <w:rsid w:val="00E1088C"/>
    <w:rsid w:val="00E14339"/>
    <w:rsid w:val="00E14A37"/>
    <w:rsid w:val="00E20133"/>
    <w:rsid w:val="00E208E1"/>
    <w:rsid w:val="00E23798"/>
    <w:rsid w:val="00E2533D"/>
    <w:rsid w:val="00E2780C"/>
    <w:rsid w:val="00E27BC6"/>
    <w:rsid w:val="00E309F5"/>
    <w:rsid w:val="00E32E48"/>
    <w:rsid w:val="00E33C0B"/>
    <w:rsid w:val="00E3706C"/>
    <w:rsid w:val="00E41C29"/>
    <w:rsid w:val="00E42875"/>
    <w:rsid w:val="00E436F2"/>
    <w:rsid w:val="00E53F4D"/>
    <w:rsid w:val="00E540B7"/>
    <w:rsid w:val="00E5459A"/>
    <w:rsid w:val="00E548FA"/>
    <w:rsid w:val="00E54B4C"/>
    <w:rsid w:val="00E55458"/>
    <w:rsid w:val="00E6140C"/>
    <w:rsid w:val="00E619C3"/>
    <w:rsid w:val="00E62934"/>
    <w:rsid w:val="00E66428"/>
    <w:rsid w:val="00E7240E"/>
    <w:rsid w:val="00E7253F"/>
    <w:rsid w:val="00E72643"/>
    <w:rsid w:val="00E80644"/>
    <w:rsid w:val="00E80D69"/>
    <w:rsid w:val="00E80F6D"/>
    <w:rsid w:val="00E815CB"/>
    <w:rsid w:val="00E83165"/>
    <w:rsid w:val="00E83609"/>
    <w:rsid w:val="00E83E7F"/>
    <w:rsid w:val="00E902E7"/>
    <w:rsid w:val="00E90E86"/>
    <w:rsid w:val="00E94BAE"/>
    <w:rsid w:val="00E94E3D"/>
    <w:rsid w:val="00EA4356"/>
    <w:rsid w:val="00EA4ACF"/>
    <w:rsid w:val="00EA60D0"/>
    <w:rsid w:val="00EA77B4"/>
    <w:rsid w:val="00EB1986"/>
    <w:rsid w:val="00EB23A7"/>
    <w:rsid w:val="00EB3695"/>
    <w:rsid w:val="00EB37B2"/>
    <w:rsid w:val="00EB3C20"/>
    <w:rsid w:val="00EB5DA4"/>
    <w:rsid w:val="00EB68BD"/>
    <w:rsid w:val="00EC228E"/>
    <w:rsid w:val="00EC750F"/>
    <w:rsid w:val="00ED0DF2"/>
    <w:rsid w:val="00ED29FF"/>
    <w:rsid w:val="00ED2B75"/>
    <w:rsid w:val="00ED56F9"/>
    <w:rsid w:val="00ED5CB1"/>
    <w:rsid w:val="00ED5DE6"/>
    <w:rsid w:val="00ED7426"/>
    <w:rsid w:val="00EE412F"/>
    <w:rsid w:val="00EE716D"/>
    <w:rsid w:val="00EF1CF9"/>
    <w:rsid w:val="00EF5326"/>
    <w:rsid w:val="00F02162"/>
    <w:rsid w:val="00F0462C"/>
    <w:rsid w:val="00F04D49"/>
    <w:rsid w:val="00F062AE"/>
    <w:rsid w:val="00F06C72"/>
    <w:rsid w:val="00F07B64"/>
    <w:rsid w:val="00F1022D"/>
    <w:rsid w:val="00F13CB2"/>
    <w:rsid w:val="00F144DD"/>
    <w:rsid w:val="00F157C9"/>
    <w:rsid w:val="00F15952"/>
    <w:rsid w:val="00F17138"/>
    <w:rsid w:val="00F17596"/>
    <w:rsid w:val="00F21FF3"/>
    <w:rsid w:val="00F22E1C"/>
    <w:rsid w:val="00F25001"/>
    <w:rsid w:val="00F269A3"/>
    <w:rsid w:val="00F35EBD"/>
    <w:rsid w:val="00F423BB"/>
    <w:rsid w:val="00F439E3"/>
    <w:rsid w:val="00F452BF"/>
    <w:rsid w:val="00F47154"/>
    <w:rsid w:val="00F51242"/>
    <w:rsid w:val="00F52DDC"/>
    <w:rsid w:val="00F53E35"/>
    <w:rsid w:val="00F53F3C"/>
    <w:rsid w:val="00F542BB"/>
    <w:rsid w:val="00F550AA"/>
    <w:rsid w:val="00F57615"/>
    <w:rsid w:val="00F57ABC"/>
    <w:rsid w:val="00F603E9"/>
    <w:rsid w:val="00F60930"/>
    <w:rsid w:val="00F628CF"/>
    <w:rsid w:val="00F659F8"/>
    <w:rsid w:val="00F72A5F"/>
    <w:rsid w:val="00F73C74"/>
    <w:rsid w:val="00F81218"/>
    <w:rsid w:val="00F85D58"/>
    <w:rsid w:val="00F86FD0"/>
    <w:rsid w:val="00F876A1"/>
    <w:rsid w:val="00F90162"/>
    <w:rsid w:val="00F94839"/>
    <w:rsid w:val="00F94B4B"/>
    <w:rsid w:val="00F957DE"/>
    <w:rsid w:val="00F9755F"/>
    <w:rsid w:val="00FA1321"/>
    <w:rsid w:val="00FA35DF"/>
    <w:rsid w:val="00FA5EA1"/>
    <w:rsid w:val="00FA68AC"/>
    <w:rsid w:val="00FA7D1B"/>
    <w:rsid w:val="00FB0574"/>
    <w:rsid w:val="00FB1CEC"/>
    <w:rsid w:val="00FB3B35"/>
    <w:rsid w:val="00FD03FE"/>
    <w:rsid w:val="00FD34AC"/>
    <w:rsid w:val="00FD5067"/>
    <w:rsid w:val="00FD6402"/>
    <w:rsid w:val="00FE0835"/>
    <w:rsid w:val="00FE1A63"/>
    <w:rsid w:val="00FE1DCF"/>
    <w:rsid w:val="00FE4F3B"/>
    <w:rsid w:val="00FE6389"/>
    <w:rsid w:val="00FF2DBD"/>
    <w:rsid w:val="00FF3586"/>
    <w:rsid w:val="00FF43A7"/>
    <w:rsid w:val="00FF653D"/>
    <w:rsid w:val="00FF6B72"/>
    <w:rsid w:val="0102181C"/>
    <w:rsid w:val="02176491"/>
    <w:rsid w:val="029C3B08"/>
    <w:rsid w:val="033008BB"/>
    <w:rsid w:val="03353BF1"/>
    <w:rsid w:val="03922E26"/>
    <w:rsid w:val="03A55895"/>
    <w:rsid w:val="044E2196"/>
    <w:rsid w:val="04892D4D"/>
    <w:rsid w:val="04BA4F43"/>
    <w:rsid w:val="04E75425"/>
    <w:rsid w:val="05BF0EC0"/>
    <w:rsid w:val="060D57BD"/>
    <w:rsid w:val="0633427F"/>
    <w:rsid w:val="064050A3"/>
    <w:rsid w:val="06471FDD"/>
    <w:rsid w:val="06CF0B37"/>
    <w:rsid w:val="07464042"/>
    <w:rsid w:val="074A7534"/>
    <w:rsid w:val="0781507A"/>
    <w:rsid w:val="07A32A01"/>
    <w:rsid w:val="07F54D84"/>
    <w:rsid w:val="0828574C"/>
    <w:rsid w:val="089B0BA3"/>
    <w:rsid w:val="08CA47FF"/>
    <w:rsid w:val="08F300CC"/>
    <w:rsid w:val="091A24A5"/>
    <w:rsid w:val="099159FF"/>
    <w:rsid w:val="099E702C"/>
    <w:rsid w:val="09BB25E7"/>
    <w:rsid w:val="09C75E62"/>
    <w:rsid w:val="09F110DC"/>
    <w:rsid w:val="09F44714"/>
    <w:rsid w:val="0A0F20CC"/>
    <w:rsid w:val="0A1A7E5A"/>
    <w:rsid w:val="0A2A4FD9"/>
    <w:rsid w:val="0A883E7C"/>
    <w:rsid w:val="0AB1158E"/>
    <w:rsid w:val="0B19028B"/>
    <w:rsid w:val="0B375B18"/>
    <w:rsid w:val="0B704738"/>
    <w:rsid w:val="0BBA2819"/>
    <w:rsid w:val="0C2052F1"/>
    <w:rsid w:val="0C48260B"/>
    <w:rsid w:val="0C7F64B4"/>
    <w:rsid w:val="0C807198"/>
    <w:rsid w:val="0CBE77E3"/>
    <w:rsid w:val="0D047654"/>
    <w:rsid w:val="0D186481"/>
    <w:rsid w:val="0D3639F8"/>
    <w:rsid w:val="0D4F6360"/>
    <w:rsid w:val="0DA66FB1"/>
    <w:rsid w:val="0E100F06"/>
    <w:rsid w:val="0E233C52"/>
    <w:rsid w:val="0E661B1F"/>
    <w:rsid w:val="0E74069C"/>
    <w:rsid w:val="0EBB5316"/>
    <w:rsid w:val="0EEB36EC"/>
    <w:rsid w:val="0EF93709"/>
    <w:rsid w:val="0F7270E3"/>
    <w:rsid w:val="1034236A"/>
    <w:rsid w:val="106634AA"/>
    <w:rsid w:val="10991687"/>
    <w:rsid w:val="11091EDE"/>
    <w:rsid w:val="112D3C05"/>
    <w:rsid w:val="11676D8E"/>
    <w:rsid w:val="11691059"/>
    <w:rsid w:val="11692025"/>
    <w:rsid w:val="11A71B81"/>
    <w:rsid w:val="11BE0614"/>
    <w:rsid w:val="122F7A83"/>
    <w:rsid w:val="123D2214"/>
    <w:rsid w:val="12870DE3"/>
    <w:rsid w:val="128771E6"/>
    <w:rsid w:val="12C0739F"/>
    <w:rsid w:val="12DF08FF"/>
    <w:rsid w:val="12E01AE0"/>
    <w:rsid w:val="13B764A4"/>
    <w:rsid w:val="13B84F03"/>
    <w:rsid w:val="13C14764"/>
    <w:rsid w:val="13F057E8"/>
    <w:rsid w:val="13F60738"/>
    <w:rsid w:val="14036BF5"/>
    <w:rsid w:val="14264FE0"/>
    <w:rsid w:val="14A260CC"/>
    <w:rsid w:val="14CF38C9"/>
    <w:rsid w:val="151A0C8B"/>
    <w:rsid w:val="151D17CD"/>
    <w:rsid w:val="15753885"/>
    <w:rsid w:val="15995C85"/>
    <w:rsid w:val="15B7274B"/>
    <w:rsid w:val="15BF475D"/>
    <w:rsid w:val="15E016C9"/>
    <w:rsid w:val="15E3575C"/>
    <w:rsid w:val="16235BA1"/>
    <w:rsid w:val="1641578F"/>
    <w:rsid w:val="16895DD4"/>
    <w:rsid w:val="170E28A5"/>
    <w:rsid w:val="172F6697"/>
    <w:rsid w:val="173B133D"/>
    <w:rsid w:val="174072B9"/>
    <w:rsid w:val="19406E97"/>
    <w:rsid w:val="196D4A20"/>
    <w:rsid w:val="196E5E76"/>
    <w:rsid w:val="19720CC7"/>
    <w:rsid w:val="19D00B49"/>
    <w:rsid w:val="19E77A9E"/>
    <w:rsid w:val="19FE07AD"/>
    <w:rsid w:val="1A777F0F"/>
    <w:rsid w:val="1B2A0CD8"/>
    <w:rsid w:val="1B303988"/>
    <w:rsid w:val="1B5712D4"/>
    <w:rsid w:val="1B5744E8"/>
    <w:rsid w:val="1B617D97"/>
    <w:rsid w:val="1C362180"/>
    <w:rsid w:val="1C444C2C"/>
    <w:rsid w:val="1CA621D5"/>
    <w:rsid w:val="1CB47291"/>
    <w:rsid w:val="1CC03ABA"/>
    <w:rsid w:val="1D306ECF"/>
    <w:rsid w:val="1D3472EB"/>
    <w:rsid w:val="1D6269C0"/>
    <w:rsid w:val="1D817E5B"/>
    <w:rsid w:val="1D8C2D63"/>
    <w:rsid w:val="1DF774E6"/>
    <w:rsid w:val="1E7A7D2E"/>
    <w:rsid w:val="1F337795"/>
    <w:rsid w:val="1F3F45B9"/>
    <w:rsid w:val="1FA923CF"/>
    <w:rsid w:val="1FAF153F"/>
    <w:rsid w:val="1FD431C5"/>
    <w:rsid w:val="1FEB4E18"/>
    <w:rsid w:val="209338C0"/>
    <w:rsid w:val="20BE7554"/>
    <w:rsid w:val="20DD6539"/>
    <w:rsid w:val="20E0398F"/>
    <w:rsid w:val="20F070A1"/>
    <w:rsid w:val="210F1974"/>
    <w:rsid w:val="212B3A00"/>
    <w:rsid w:val="212E3357"/>
    <w:rsid w:val="215C6B13"/>
    <w:rsid w:val="21C15225"/>
    <w:rsid w:val="21ED1832"/>
    <w:rsid w:val="221D19D3"/>
    <w:rsid w:val="228760BF"/>
    <w:rsid w:val="22AD6357"/>
    <w:rsid w:val="22B3356F"/>
    <w:rsid w:val="22C05153"/>
    <w:rsid w:val="22CF66FD"/>
    <w:rsid w:val="22D266FA"/>
    <w:rsid w:val="22D35106"/>
    <w:rsid w:val="23311200"/>
    <w:rsid w:val="23715E37"/>
    <w:rsid w:val="23BF4A9A"/>
    <w:rsid w:val="23EE3640"/>
    <w:rsid w:val="243D7784"/>
    <w:rsid w:val="24853F58"/>
    <w:rsid w:val="24AA7CCD"/>
    <w:rsid w:val="24B418A3"/>
    <w:rsid w:val="24CE0E77"/>
    <w:rsid w:val="24F25C29"/>
    <w:rsid w:val="252E63EA"/>
    <w:rsid w:val="256673C2"/>
    <w:rsid w:val="25992B51"/>
    <w:rsid w:val="259A7020"/>
    <w:rsid w:val="259E479A"/>
    <w:rsid w:val="25FA6E90"/>
    <w:rsid w:val="26316CB1"/>
    <w:rsid w:val="265E4AAD"/>
    <w:rsid w:val="2674616F"/>
    <w:rsid w:val="26DC0732"/>
    <w:rsid w:val="271504ED"/>
    <w:rsid w:val="27511125"/>
    <w:rsid w:val="27597C9E"/>
    <w:rsid w:val="278F7CBE"/>
    <w:rsid w:val="282B5B6F"/>
    <w:rsid w:val="284E0B51"/>
    <w:rsid w:val="287A7B87"/>
    <w:rsid w:val="28A528ED"/>
    <w:rsid w:val="28B437CB"/>
    <w:rsid w:val="296E3259"/>
    <w:rsid w:val="29710008"/>
    <w:rsid w:val="29850CF1"/>
    <w:rsid w:val="299F2C35"/>
    <w:rsid w:val="29D447F6"/>
    <w:rsid w:val="29F50989"/>
    <w:rsid w:val="29F774B3"/>
    <w:rsid w:val="2A1F4D19"/>
    <w:rsid w:val="2A523EF2"/>
    <w:rsid w:val="2ACD2B13"/>
    <w:rsid w:val="2AD34780"/>
    <w:rsid w:val="2AD97BAB"/>
    <w:rsid w:val="2B291268"/>
    <w:rsid w:val="2B760428"/>
    <w:rsid w:val="2BA423B9"/>
    <w:rsid w:val="2BB52D65"/>
    <w:rsid w:val="2BD7234A"/>
    <w:rsid w:val="2BDF516F"/>
    <w:rsid w:val="2BE97BA4"/>
    <w:rsid w:val="2BF67B24"/>
    <w:rsid w:val="2BF717F3"/>
    <w:rsid w:val="2BFE7021"/>
    <w:rsid w:val="2C0D7667"/>
    <w:rsid w:val="2C114F3D"/>
    <w:rsid w:val="2C437A37"/>
    <w:rsid w:val="2C533744"/>
    <w:rsid w:val="2C6C4A86"/>
    <w:rsid w:val="2CD136FF"/>
    <w:rsid w:val="2D2C08E1"/>
    <w:rsid w:val="2D8B5E36"/>
    <w:rsid w:val="2DB875F3"/>
    <w:rsid w:val="2DD82900"/>
    <w:rsid w:val="2DE54EFA"/>
    <w:rsid w:val="2DF82992"/>
    <w:rsid w:val="2E034196"/>
    <w:rsid w:val="2E6B4127"/>
    <w:rsid w:val="2E9A689E"/>
    <w:rsid w:val="2ECB6253"/>
    <w:rsid w:val="2EFF215F"/>
    <w:rsid w:val="2F236CBC"/>
    <w:rsid w:val="2F955AF6"/>
    <w:rsid w:val="2FC977C0"/>
    <w:rsid w:val="30406FD1"/>
    <w:rsid w:val="30527354"/>
    <w:rsid w:val="30806B9E"/>
    <w:rsid w:val="3086332C"/>
    <w:rsid w:val="30D23469"/>
    <w:rsid w:val="310E70CF"/>
    <w:rsid w:val="31182324"/>
    <w:rsid w:val="31592A40"/>
    <w:rsid w:val="317B1DBF"/>
    <w:rsid w:val="31F348B7"/>
    <w:rsid w:val="328D532E"/>
    <w:rsid w:val="32CB348B"/>
    <w:rsid w:val="32CD72CC"/>
    <w:rsid w:val="3339159F"/>
    <w:rsid w:val="33657E90"/>
    <w:rsid w:val="33C65DCA"/>
    <w:rsid w:val="33F60940"/>
    <w:rsid w:val="33F66A51"/>
    <w:rsid w:val="346910F4"/>
    <w:rsid w:val="34853694"/>
    <w:rsid w:val="34CC0E57"/>
    <w:rsid w:val="34E64AEB"/>
    <w:rsid w:val="350677B1"/>
    <w:rsid w:val="35262C3A"/>
    <w:rsid w:val="355552CD"/>
    <w:rsid w:val="35591EB5"/>
    <w:rsid w:val="355C159F"/>
    <w:rsid w:val="35921100"/>
    <w:rsid w:val="35B23FA8"/>
    <w:rsid w:val="35CC1078"/>
    <w:rsid w:val="35E47C47"/>
    <w:rsid w:val="365D438B"/>
    <w:rsid w:val="369D111E"/>
    <w:rsid w:val="36CD7F81"/>
    <w:rsid w:val="373454E3"/>
    <w:rsid w:val="374B2E2B"/>
    <w:rsid w:val="379548BA"/>
    <w:rsid w:val="37AD1EC7"/>
    <w:rsid w:val="382A7AEF"/>
    <w:rsid w:val="382C4A0B"/>
    <w:rsid w:val="38825F38"/>
    <w:rsid w:val="38AA521A"/>
    <w:rsid w:val="38C5370F"/>
    <w:rsid w:val="38D56486"/>
    <w:rsid w:val="38F71B5F"/>
    <w:rsid w:val="39317DFF"/>
    <w:rsid w:val="396B57BF"/>
    <w:rsid w:val="39722413"/>
    <w:rsid w:val="39C66FE4"/>
    <w:rsid w:val="39D341CC"/>
    <w:rsid w:val="39F8074B"/>
    <w:rsid w:val="3A7E6316"/>
    <w:rsid w:val="3B8717C1"/>
    <w:rsid w:val="3BD15891"/>
    <w:rsid w:val="3BF31866"/>
    <w:rsid w:val="3BF33A92"/>
    <w:rsid w:val="3C1856B8"/>
    <w:rsid w:val="3C2679C3"/>
    <w:rsid w:val="3C492996"/>
    <w:rsid w:val="3CAA49A6"/>
    <w:rsid w:val="3CB32C0A"/>
    <w:rsid w:val="3CCE27FF"/>
    <w:rsid w:val="3D13421D"/>
    <w:rsid w:val="3E0A1BEB"/>
    <w:rsid w:val="3E1A3557"/>
    <w:rsid w:val="3E5D4782"/>
    <w:rsid w:val="3E662E22"/>
    <w:rsid w:val="3EA960AC"/>
    <w:rsid w:val="3EBC6486"/>
    <w:rsid w:val="3EE651E8"/>
    <w:rsid w:val="3F2C03A4"/>
    <w:rsid w:val="3F5F70BC"/>
    <w:rsid w:val="3F825A05"/>
    <w:rsid w:val="3FCD2357"/>
    <w:rsid w:val="3FEF3BDF"/>
    <w:rsid w:val="4023235B"/>
    <w:rsid w:val="403E6C5E"/>
    <w:rsid w:val="404249F6"/>
    <w:rsid w:val="404945DC"/>
    <w:rsid w:val="407B35C7"/>
    <w:rsid w:val="41096C2F"/>
    <w:rsid w:val="41120C7C"/>
    <w:rsid w:val="41254DCE"/>
    <w:rsid w:val="413B5CBF"/>
    <w:rsid w:val="417116E0"/>
    <w:rsid w:val="417C7B7A"/>
    <w:rsid w:val="41A374C2"/>
    <w:rsid w:val="41CE3A06"/>
    <w:rsid w:val="42247D62"/>
    <w:rsid w:val="422B1756"/>
    <w:rsid w:val="426F6BFE"/>
    <w:rsid w:val="42970931"/>
    <w:rsid w:val="42CC3156"/>
    <w:rsid w:val="42D33049"/>
    <w:rsid w:val="42D7219B"/>
    <w:rsid w:val="432D1637"/>
    <w:rsid w:val="436E44C7"/>
    <w:rsid w:val="437354CD"/>
    <w:rsid w:val="43BD506E"/>
    <w:rsid w:val="43CE09E5"/>
    <w:rsid w:val="440A1978"/>
    <w:rsid w:val="442A0162"/>
    <w:rsid w:val="442B6B11"/>
    <w:rsid w:val="44466E54"/>
    <w:rsid w:val="446A6B99"/>
    <w:rsid w:val="44904888"/>
    <w:rsid w:val="44B32648"/>
    <w:rsid w:val="44DC38A8"/>
    <w:rsid w:val="452D0F3B"/>
    <w:rsid w:val="45586FEE"/>
    <w:rsid w:val="4593427F"/>
    <w:rsid w:val="45DD2A64"/>
    <w:rsid w:val="46153C9C"/>
    <w:rsid w:val="46654738"/>
    <w:rsid w:val="46835E89"/>
    <w:rsid w:val="46E15D4A"/>
    <w:rsid w:val="46F25B86"/>
    <w:rsid w:val="474565F0"/>
    <w:rsid w:val="47DE746F"/>
    <w:rsid w:val="481903DC"/>
    <w:rsid w:val="4835572E"/>
    <w:rsid w:val="484C0059"/>
    <w:rsid w:val="486056EC"/>
    <w:rsid w:val="4867734D"/>
    <w:rsid w:val="486976F9"/>
    <w:rsid w:val="48A65FBC"/>
    <w:rsid w:val="48B8386A"/>
    <w:rsid w:val="4904287A"/>
    <w:rsid w:val="49145C19"/>
    <w:rsid w:val="49401C06"/>
    <w:rsid w:val="49691876"/>
    <w:rsid w:val="49861AA1"/>
    <w:rsid w:val="49F04E64"/>
    <w:rsid w:val="49F7299F"/>
    <w:rsid w:val="4A3A4FE1"/>
    <w:rsid w:val="4A6C06D2"/>
    <w:rsid w:val="4A9D7A29"/>
    <w:rsid w:val="4ABD3DD2"/>
    <w:rsid w:val="4ADB7BCB"/>
    <w:rsid w:val="4BD4099F"/>
    <w:rsid w:val="4C091DE0"/>
    <w:rsid w:val="4C150FF1"/>
    <w:rsid w:val="4C6F72DE"/>
    <w:rsid w:val="4C7005B3"/>
    <w:rsid w:val="4C826A43"/>
    <w:rsid w:val="4CA77240"/>
    <w:rsid w:val="4CB15087"/>
    <w:rsid w:val="4CD15729"/>
    <w:rsid w:val="4D386F9E"/>
    <w:rsid w:val="4D404159"/>
    <w:rsid w:val="4DC36A97"/>
    <w:rsid w:val="4DE94B51"/>
    <w:rsid w:val="4DF0398D"/>
    <w:rsid w:val="4E231932"/>
    <w:rsid w:val="4E537A89"/>
    <w:rsid w:val="4E6C0ECF"/>
    <w:rsid w:val="4E923B16"/>
    <w:rsid w:val="4EDB6CEA"/>
    <w:rsid w:val="4F1651D4"/>
    <w:rsid w:val="4F1F7974"/>
    <w:rsid w:val="4F7836C3"/>
    <w:rsid w:val="4FA00E1F"/>
    <w:rsid w:val="4FB93BBD"/>
    <w:rsid w:val="500B0F52"/>
    <w:rsid w:val="502B704B"/>
    <w:rsid w:val="502D7573"/>
    <w:rsid w:val="506D479C"/>
    <w:rsid w:val="50BA569B"/>
    <w:rsid w:val="50D104AF"/>
    <w:rsid w:val="50D37B2C"/>
    <w:rsid w:val="50E51B0F"/>
    <w:rsid w:val="511D718F"/>
    <w:rsid w:val="51457672"/>
    <w:rsid w:val="51475EAF"/>
    <w:rsid w:val="51492739"/>
    <w:rsid w:val="51876D0D"/>
    <w:rsid w:val="51B748EB"/>
    <w:rsid w:val="51BE47EE"/>
    <w:rsid w:val="51D21EDC"/>
    <w:rsid w:val="520714D3"/>
    <w:rsid w:val="5212075F"/>
    <w:rsid w:val="52137701"/>
    <w:rsid w:val="52283C91"/>
    <w:rsid w:val="525C10C0"/>
    <w:rsid w:val="52695BD1"/>
    <w:rsid w:val="527722C9"/>
    <w:rsid w:val="52A341A2"/>
    <w:rsid w:val="52B91A1A"/>
    <w:rsid w:val="531D5B9A"/>
    <w:rsid w:val="534666F3"/>
    <w:rsid w:val="53CB6F73"/>
    <w:rsid w:val="53ED67EE"/>
    <w:rsid w:val="54177ADD"/>
    <w:rsid w:val="543C16DA"/>
    <w:rsid w:val="54603713"/>
    <w:rsid w:val="54873177"/>
    <w:rsid w:val="54B73EEF"/>
    <w:rsid w:val="54CA23CA"/>
    <w:rsid w:val="5512278F"/>
    <w:rsid w:val="552C23A8"/>
    <w:rsid w:val="556D17D2"/>
    <w:rsid w:val="558275C0"/>
    <w:rsid w:val="55BF140B"/>
    <w:rsid w:val="55C220B3"/>
    <w:rsid w:val="560577E5"/>
    <w:rsid w:val="560E5F86"/>
    <w:rsid w:val="562F1EE4"/>
    <w:rsid w:val="565662F9"/>
    <w:rsid w:val="56B075A1"/>
    <w:rsid w:val="576378C6"/>
    <w:rsid w:val="57B1113E"/>
    <w:rsid w:val="57C9597B"/>
    <w:rsid w:val="57CF2865"/>
    <w:rsid w:val="57E63A60"/>
    <w:rsid w:val="5840501E"/>
    <w:rsid w:val="58412ED9"/>
    <w:rsid w:val="586D7F62"/>
    <w:rsid w:val="589D548F"/>
    <w:rsid w:val="59332013"/>
    <w:rsid w:val="59377A2C"/>
    <w:rsid w:val="593A3D77"/>
    <w:rsid w:val="59944773"/>
    <w:rsid w:val="59CE6576"/>
    <w:rsid w:val="59E20F76"/>
    <w:rsid w:val="5A2E2F8A"/>
    <w:rsid w:val="5A4A0364"/>
    <w:rsid w:val="5A9E5472"/>
    <w:rsid w:val="5AA1039A"/>
    <w:rsid w:val="5AE65370"/>
    <w:rsid w:val="5AF54CD9"/>
    <w:rsid w:val="5B2061CA"/>
    <w:rsid w:val="5B656328"/>
    <w:rsid w:val="5C3E4E5B"/>
    <w:rsid w:val="5C644B60"/>
    <w:rsid w:val="5C7B2F2F"/>
    <w:rsid w:val="5CAE2911"/>
    <w:rsid w:val="5CD32DF8"/>
    <w:rsid w:val="5CF01637"/>
    <w:rsid w:val="5D5E4DB7"/>
    <w:rsid w:val="5E1F1152"/>
    <w:rsid w:val="5E972184"/>
    <w:rsid w:val="5EB930D0"/>
    <w:rsid w:val="5ED6165A"/>
    <w:rsid w:val="5F011E9E"/>
    <w:rsid w:val="5F5226F9"/>
    <w:rsid w:val="5F943DAC"/>
    <w:rsid w:val="5FBE7D8F"/>
    <w:rsid w:val="601B5337"/>
    <w:rsid w:val="603858EB"/>
    <w:rsid w:val="60392093"/>
    <w:rsid w:val="604B754F"/>
    <w:rsid w:val="60A61EA4"/>
    <w:rsid w:val="60B92E16"/>
    <w:rsid w:val="60BD3F48"/>
    <w:rsid w:val="613A7EFF"/>
    <w:rsid w:val="615722CF"/>
    <w:rsid w:val="616458EE"/>
    <w:rsid w:val="61A02952"/>
    <w:rsid w:val="61B6561E"/>
    <w:rsid w:val="61DA2F01"/>
    <w:rsid w:val="62001A55"/>
    <w:rsid w:val="62177AAE"/>
    <w:rsid w:val="621F7D06"/>
    <w:rsid w:val="63051831"/>
    <w:rsid w:val="630E7323"/>
    <w:rsid w:val="63176C5C"/>
    <w:rsid w:val="63332CE2"/>
    <w:rsid w:val="639F6AFA"/>
    <w:rsid w:val="63AD5698"/>
    <w:rsid w:val="63C24959"/>
    <w:rsid w:val="63D86F45"/>
    <w:rsid w:val="63E27181"/>
    <w:rsid w:val="63FD10FD"/>
    <w:rsid w:val="64291E57"/>
    <w:rsid w:val="646E524A"/>
    <w:rsid w:val="64862FB7"/>
    <w:rsid w:val="64964297"/>
    <w:rsid w:val="64B672AC"/>
    <w:rsid w:val="64EF49BB"/>
    <w:rsid w:val="650C6D95"/>
    <w:rsid w:val="656A5B69"/>
    <w:rsid w:val="65796E25"/>
    <w:rsid w:val="657D3011"/>
    <w:rsid w:val="65F934A5"/>
    <w:rsid w:val="660504A2"/>
    <w:rsid w:val="660E5B28"/>
    <w:rsid w:val="661425F8"/>
    <w:rsid w:val="6671766D"/>
    <w:rsid w:val="669525C8"/>
    <w:rsid w:val="66F66DDC"/>
    <w:rsid w:val="67276465"/>
    <w:rsid w:val="67535132"/>
    <w:rsid w:val="67AF6668"/>
    <w:rsid w:val="67D41956"/>
    <w:rsid w:val="67DA1D94"/>
    <w:rsid w:val="680C6802"/>
    <w:rsid w:val="685632A9"/>
    <w:rsid w:val="68810EF0"/>
    <w:rsid w:val="68853107"/>
    <w:rsid w:val="68D535F6"/>
    <w:rsid w:val="68EB3277"/>
    <w:rsid w:val="68F87F45"/>
    <w:rsid w:val="695C3CC9"/>
    <w:rsid w:val="69A159F8"/>
    <w:rsid w:val="6A462169"/>
    <w:rsid w:val="6A67636C"/>
    <w:rsid w:val="6A8F4A93"/>
    <w:rsid w:val="6AB37D1A"/>
    <w:rsid w:val="6AC97948"/>
    <w:rsid w:val="6B0E100A"/>
    <w:rsid w:val="6B5557EE"/>
    <w:rsid w:val="6BC44710"/>
    <w:rsid w:val="6BF743D9"/>
    <w:rsid w:val="6C0321DC"/>
    <w:rsid w:val="6C213774"/>
    <w:rsid w:val="6C2F759D"/>
    <w:rsid w:val="6C6B4DE1"/>
    <w:rsid w:val="6D2569A2"/>
    <w:rsid w:val="6D6E4614"/>
    <w:rsid w:val="6D7D29C3"/>
    <w:rsid w:val="6D997F03"/>
    <w:rsid w:val="6DC913A6"/>
    <w:rsid w:val="6DF826B2"/>
    <w:rsid w:val="6E1C1176"/>
    <w:rsid w:val="6E3A2E0B"/>
    <w:rsid w:val="6E7D4C56"/>
    <w:rsid w:val="6EDC0609"/>
    <w:rsid w:val="6F0D1396"/>
    <w:rsid w:val="6F236DB5"/>
    <w:rsid w:val="6F27715F"/>
    <w:rsid w:val="6F283C13"/>
    <w:rsid w:val="6F2D53C1"/>
    <w:rsid w:val="6F8D0621"/>
    <w:rsid w:val="6F9837E4"/>
    <w:rsid w:val="6FA67EF8"/>
    <w:rsid w:val="6FE733CE"/>
    <w:rsid w:val="70012A00"/>
    <w:rsid w:val="70391BEC"/>
    <w:rsid w:val="70415F84"/>
    <w:rsid w:val="7045540C"/>
    <w:rsid w:val="70664847"/>
    <w:rsid w:val="70C55C66"/>
    <w:rsid w:val="70F422BB"/>
    <w:rsid w:val="71176C78"/>
    <w:rsid w:val="7137592F"/>
    <w:rsid w:val="71501BAC"/>
    <w:rsid w:val="715851D8"/>
    <w:rsid w:val="7192008A"/>
    <w:rsid w:val="719F5DE3"/>
    <w:rsid w:val="71A577F5"/>
    <w:rsid w:val="71CC02F7"/>
    <w:rsid w:val="71F87130"/>
    <w:rsid w:val="7229553C"/>
    <w:rsid w:val="7273760E"/>
    <w:rsid w:val="735C6F33"/>
    <w:rsid w:val="73EF6311"/>
    <w:rsid w:val="74175CDA"/>
    <w:rsid w:val="747C15ED"/>
    <w:rsid w:val="74945FCF"/>
    <w:rsid w:val="749626D9"/>
    <w:rsid w:val="74A72DE4"/>
    <w:rsid w:val="74D36D87"/>
    <w:rsid w:val="74EA4E8A"/>
    <w:rsid w:val="75C030E5"/>
    <w:rsid w:val="760828FA"/>
    <w:rsid w:val="760B3389"/>
    <w:rsid w:val="765D586A"/>
    <w:rsid w:val="769D3E02"/>
    <w:rsid w:val="76A900F9"/>
    <w:rsid w:val="771C4AD7"/>
    <w:rsid w:val="77662668"/>
    <w:rsid w:val="77893F0F"/>
    <w:rsid w:val="77A17922"/>
    <w:rsid w:val="77F008AA"/>
    <w:rsid w:val="7838512A"/>
    <w:rsid w:val="786D4FC8"/>
    <w:rsid w:val="78A93632"/>
    <w:rsid w:val="78BC22F9"/>
    <w:rsid w:val="78DB26C6"/>
    <w:rsid w:val="79523A81"/>
    <w:rsid w:val="79BA718C"/>
    <w:rsid w:val="79E34305"/>
    <w:rsid w:val="79E678D8"/>
    <w:rsid w:val="79F301DD"/>
    <w:rsid w:val="7A091FC6"/>
    <w:rsid w:val="7A3525A4"/>
    <w:rsid w:val="7A3B0F75"/>
    <w:rsid w:val="7A844AD1"/>
    <w:rsid w:val="7AD063E7"/>
    <w:rsid w:val="7AE13D5A"/>
    <w:rsid w:val="7AEE130D"/>
    <w:rsid w:val="7AFA17EA"/>
    <w:rsid w:val="7B533D87"/>
    <w:rsid w:val="7B845591"/>
    <w:rsid w:val="7BA13D41"/>
    <w:rsid w:val="7C775D5B"/>
    <w:rsid w:val="7C9F0D27"/>
    <w:rsid w:val="7CD11DE5"/>
    <w:rsid w:val="7D2F2524"/>
    <w:rsid w:val="7D460932"/>
    <w:rsid w:val="7DA41B09"/>
    <w:rsid w:val="7DA43CC8"/>
    <w:rsid w:val="7DA77C5D"/>
    <w:rsid w:val="7DD347CB"/>
    <w:rsid w:val="7E053094"/>
    <w:rsid w:val="7E3F3D02"/>
    <w:rsid w:val="7F176A00"/>
    <w:rsid w:val="7F22781B"/>
    <w:rsid w:val="7F2F1CB8"/>
    <w:rsid w:val="7F3D52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Calibri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locked/>
    <w:uiPriority w:val="22"/>
    <w:rPr>
      <w:b/>
      <w:bCs/>
    </w:r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customStyle="1" w:styleId="11">
    <w:name w:val="页脚 Char"/>
    <w:basedOn w:val="8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页眉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locked/>
    <w:uiPriority w:val="99"/>
    <w:rPr>
      <w:rFonts w:eastAsia="仿宋_GB2312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18</Pages>
  <Words>7106</Words>
  <Characters>8230</Characters>
  <Lines>10</Lines>
  <Paragraphs>17</Paragraphs>
  <TotalTime>38</TotalTime>
  <ScaleCrop>false</ScaleCrop>
  <LinksUpToDate>false</LinksUpToDate>
  <CharactersWithSpaces>8238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2020-12-28T06:33:00Z</dcterms:created>
  <dc:creator>zjc</dc:creator>
  <cp:lastModifiedBy>SUNLEI</cp:lastModifiedBy>
  <cp:lastPrinted>2024-12-06T05:29:00Z</cp:lastPrinted>
  <dcterms:modified xsi:type="dcterms:W3CDTF">2025-09-11T09:21:50Z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111EBAB883E94217A922C771A1D11012_13</vt:lpwstr>
  </property>
  <property fmtid="{D5CDD505-2E9C-101B-9397-08002B2CF9AE}" pid="4" name="KSOTemplateDocerSaveRecord">
    <vt:lpwstr>eyJoZGlkIjoiNTliNmMwYmI0NzZhYjIwOTRhNmMzZWJhZjVhMmM3NTEiLCJ1c2VySWQiOiIzMzQyMDIzODQifQ==</vt:lpwstr>
  </property>
</Properties>
</file>