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7A986">
      <w:pPr>
        <w:spacing w:before="88" w:line="219" w:lineRule="auto"/>
        <w:jc w:val="center"/>
        <w:outlineLvl w:val="0"/>
        <w:rPr>
          <w:rFonts w:ascii="宋体" w:hAnsi="宋体" w:eastAsia="宋体" w:cs="宋体"/>
          <w:sz w:val="44"/>
          <w:szCs w:val="44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spacing w:val="8"/>
          <w:sz w:val="44"/>
          <w:szCs w:val="44"/>
        </w:rPr>
        <w:t>庄河市新华环境卫生管理处2025年度单位预算</w:t>
      </w:r>
    </w:p>
    <w:p w14:paraId="7F1F8588">
      <w:pPr>
        <w:rPr>
          <w:rFonts w:ascii="Arial"/>
          <w:sz w:val="21"/>
        </w:rPr>
      </w:pPr>
    </w:p>
    <w:p w14:paraId="6164543A">
      <w:pPr>
        <w:rPr>
          <w:rFonts w:ascii="Arial"/>
          <w:sz w:val="21"/>
        </w:rPr>
      </w:pPr>
    </w:p>
    <w:p w14:paraId="23CA0652">
      <w:pPr>
        <w:rPr>
          <w:rFonts w:ascii="Arial"/>
          <w:sz w:val="21"/>
        </w:rPr>
      </w:pPr>
    </w:p>
    <w:p w14:paraId="12A2DF52">
      <w:pPr>
        <w:pStyle w:val="2"/>
        <w:spacing w:before="91" w:line="223" w:lineRule="auto"/>
        <w:ind w:left="4584"/>
        <w:rPr>
          <w:sz w:val="28"/>
          <w:szCs w:val="28"/>
        </w:rPr>
      </w:pPr>
      <w:r>
        <w:rPr>
          <w:b/>
          <w:bCs/>
          <w:spacing w:val="-37"/>
          <w:sz w:val="28"/>
          <w:szCs w:val="28"/>
        </w:rPr>
        <w:t>目</w:t>
      </w:r>
      <w:r>
        <w:rPr>
          <w:spacing w:val="-24"/>
          <w:sz w:val="28"/>
          <w:szCs w:val="28"/>
        </w:rPr>
        <w:t xml:space="preserve"> </w:t>
      </w:r>
      <w:r>
        <w:rPr>
          <w:b/>
          <w:bCs/>
          <w:spacing w:val="-37"/>
          <w:sz w:val="28"/>
          <w:szCs w:val="28"/>
        </w:rPr>
        <w:t>录</w:t>
      </w:r>
    </w:p>
    <w:p w14:paraId="500FAA6E">
      <w:pPr>
        <w:spacing w:line="467" w:lineRule="auto"/>
        <w:rPr>
          <w:rFonts w:ascii="Arial"/>
          <w:sz w:val="21"/>
        </w:rPr>
      </w:pPr>
    </w:p>
    <w:p w14:paraId="00E76AC8">
      <w:pPr>
        <w:spacing w:before="100" w:line="221" w:lineRule="auto"/>
        <w:ind w:left="4"/>
        <w:rPr>
          <w:rFonts w:hint="eastAsia" w:asciiTheme="majorEastAsia" w:hAnsiTheme="majorEastAsia" w:eastAsiaTheme="majorEastAsia" w:cstheme="majorEastAsia"/>
          <w:sz w:val="31"/>
          <w:szCs w:val="31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6"/>
          <w:sz w:val="31"/>
          <w:szCs w:val="31"/>
        </w:rPr>
        <w:t>第一部分</w:t>
      </w:r>
      <w:r>
        <w:rPr>
          <w:rFonts w:hint="eastAsia" w:asciiTheme="majorEastAsia" w:hAnsiTheme="majorEastAsia" w:eastAsiaTheme="majorEastAsia" w:cstheme="majorEastAsia"/>
          <w:spacing w:val="6"/>
          <w:sz w:val="31"/>
          <w:szCs w:val="31"/>
        </w:rPr>
        <w:t xml:space="preserve">   </w:t>
      </w:r>
      <w:r>
        <w:rPr>
          <w:rFonts w:hint="eastAsia" w:asciiTheme="majorEastAsia" w:hAnsiTheme="majorEastAsia" w:eastAsiaTheme="majorEastAsia" w:cstheme="majorEastAsia"/>
          <w:b/>
          <w:bCs/>
          <w:spacing w:val="6"/>
          <w:sz w:val="31"/>
          <w:szCs w:val="31"/>
        </w:rPr>
        <w:t>庄河市新华环境卫生管理处概况</w:t>
      </w:r>
    </w:p>
    <w:p w14:paraId="671546AC">
      <w:pPr>
        <w:pStyle w:val="2"/>
        <w:spacing w:before="38" w:line="224" w:lineRule="auto"/>
      </w:pPr>
      <w:r>
        <w:rPr>
          <w:spacing w:val="-8"/>
        </w:rPr>
        <w:t>一</w:t>
      </w:r>
      <w:r>
        <w:rPr>
          <w:spacing w:val="-81"/>
        </w:rPr>
        <w:t xml:space="preserve"> </w:t>
      </w:r>
      <w:r>
        <w:rPr>
          <w:spacing w:val="-8"/>
        </w:rPr>
        <w:t>、主要职责</w:t>
      </w:r>
    </w:p>
    <w:p w14:paraId="6D7C0B9E">
      <w:pPr>
        <w:pStyle w:val="2"/>
        <w:spacing w:before="50" w:line="222" w:lineRule="auto"/>
      </w:pPr>
      <w:r>
        <w:t>二、机构设置</w:t>
      </w:r>
    </w:p>
    <w:p w14:paraId="305ACF5D">
      <w:pPr>
        <w:spacing w:line="42" w:lineRule="exact"/>
      </w:pPr>
    </w:p>
    <w:p w14:paraId="2B48EB11">
      <w:pPr>
        <w:pStyle w:val="2"/>
        <w:spacing w:before="117" w:line="222" w:lineRule="auto"/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6"/>
          <w:kern w:val="0"/>
          <w:sz w:val="31"/>
          <w:szCs w:val="31"/>
          <w:lang w:val="en-US" w:eastAsia="en-US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6"/>
          <w:kern w:val="0"/>
          <w:sz w:val="31"/>
          <w:szCs w:val="31"/>
          <w:lang w:val="en-US" w:eastAsia="en-US" w:bidi="ar-SA"/>
        </w:rPr>
        <w:t>第二部分</w:t>
      </w: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6"/>
          <w:kern w:val="0"/>
          <w:sz w:val="31"/>
          <w:szCs w:val="31"/>
          <w:lang w:val="en-US" w:eastAsia="en-US" w:bidi="ar-SA"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6"/>
          <w:kern w:val="0"/>
          <w:sz w:val="31"/>
          <w:szCs w:val="31"/>
          <w:lang w:val="en-US" w:eastAsia="en-US" w:bidi="ar-SA"/>
        </w:rPr>
        <w:t>2025年单位预算情况说明</w:t>
      </w:r>
    </w:p>
    <w:p w14:paraId="261030F5">
      <w:pPr>
        <w:pStyle w:val="2"/>
        <w:spacing w:before="117" w:line="222" w:lineRule="auto"/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6"/>
          <w:kern w:val="0"/>
          <w:sz w:val="31"/>
          <w:szCs w:val="31"/>
          <w:lang w:val="en-US" w:eastAsia="en-US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6"/>
          <w:kern w:val="0"/>
          <w:sz w:val="31"/>
          <w:szCs w:val="31"/>
          <w:lang w:val="en-US" w:eastAsia="en-US" w:bidi="ar-SA"/>
        </w:rPr>
        <w:t>第三部分</w:t>
      </w: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6"/>
          <w:kern w:val="0"/>
          <w:sz w:val="31"/>
          <w:szCs w:val="31"/>
          <w:lang w:val="en-US" w:eastAsia="en-US" w:bidi="ar-SA"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6"/>
          <w:kern w:val="0"/>
          <w:sz w:val="31"/>
          <w:szCs w:val="31"/>
          <w:lang w:val="en-US" w:eastAsia="en-US" w:bidi="ar-SA"/>
        </w:rPr>
        <w:t>名词解释</w:t>
      </w:r>
    </w:p>
    <w:p w14:paraId="4292A095">
      <w:pPr>
        <w:pStyle w:val="2"/>
        <w:spacing w:before="117" w:line="222" w:lineRule="auto"/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6"/>
          <w:kern w:val="0"/>
          <w:sz w:val="31"/>
          <w:szCs w:val="31"/>
          <w:lang w:val="en-US" w:eastAsia="en-US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6"/>
          <w:kern w:val="0"/>
          <w:sz w:val="31"/>
          <w:szCs w:val="31"/>
          <w:lang w:val="en-US" w:eastAsia="en-US" w:bidi="ar-SA"/>
        </w:rPr>
        <w:t>第四部分</w:t>
      </w: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6"/>
          <w:kern w:val="0"/>
          <w:sz w:val="31"/>
          <w:szCs w:val="31"/>
          <w:lang w:val="en-US" w:eastAsia="en-US" w:bidi="ar-SA"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6"/>
          <w:kern w:val="0"/>
          <w:sz w:val="31"/>
          <w:szCs w:val="31"/>
          <w:lang w:val="en-US" w:eastAsia="en-US" w:bidi="ar-SA"/>
        </w:rPr>
        <w:t>2025年单位预算表</w:t>
      </w:r>
    </w:p>
    <w:p w14:paraId="18699DA3">
      <w:pPr>
        <w:pStyle w:val="2"/>
        <w:spacing w:before="117" w:line="222" w:lineRule="auto"/>
      </w:pPr>
      <w:r>
        <w:rPr>
          <w:spacing w:val="5"/>
        </w:rPr>
        <w:t>一、收支预算总表</w:t>
      </w:r>
    </w:p>
    <w:p w14:paraId="7793A85C">
      <w:pPr>
        <w:pStyle w:val="2"/>
        <w:spacing w:before="47" w:line="222" w:lineRule="auto"/>
      </w:pPr>
      <w:r>
        <w:rPr>
          <w:spacing w:val="1"/>
        </w:rPr>
        <w:t>二、收入预算总表</w:t>
      </w:r>
    </w:p>
    <w:p w14:paraId="5635BEA9">
      <w:pPr>
        <w:pStyle w:val="2"/>
        <w:spacing w:before="27" w:line="222" w:lineRule="auto"/>
      </w:pPr>
      <w:r>
        <w:rPr>
          <w:spacing w:val="5"/>
        </w:rPr>
        <w:t>三、支出预算总表</w:t>
      </w:r>
    </w:p>
    <w:p w14:paraId="1381FBE1">
      <w:pPr>
        <w:pStyle w:val="2"/>
        <w:spacing w:before="47" w:line="222" w:lineRule="auto"/>
      </w:pPr>
      <w:r>
        <w:rPr>
          <w:spacing w:val="-3"/>
        </w:rPr>
        <w:t>四</w:t>
      </w:r>
      <w:r>
        <w:rPr>
          <w:spacing w:val="-68"/>
        </w:rPr>
        <w:t xml:space="preserve"> </w:t>
      </w:r>
      <w:r>
        <w:rPr>
          <w:spacing w:val="-3"/>
        </w:rPr>
        <w:t>、支出功能分类预算表</w:t>
      </w:r>
    </w:p>
    <w:p w14:paraId="3CE826FB">
      <w:pPr>
        <w:pStyle w:val="2"/>
        <w:spacing w:before="27" w:line="221" w:lineRule="auto"/>
      </w:pPr>
      <w:r>
        <w:rPr>
          <w:spacing w:val="6"/>
        </w:rPr>
        <w:t>五、支出经济分类预算表</w:t>
      </w:r>
    </w:p>
    <w:p w14:paraId="24037A29">
      <w:pPr>
        <w:pStyle w:val="2"/>
        <w:spacing w:before="50" w:line="222" w:lineRule="auto"/>
      </w:pPr>
      <w:r>
        <w:rPr>
          <w:spacing w:val="6"/>
        </w:rPr>
        <w:t>六、财政拨款预算总表</w:t>
      </w:r>
    </w:p>
    <w:p w14:paraId="24F86023">
      <w:pPr>
        <w:pStyle w:val="2"/>
        <w:spacing w:before="57" w:line="222" w:lineRule="auto"/>
      </w:pPr>
      <w:r>
        <w:rPr>
          <w:spacing w:val="6"/>
        </w:rPr>
        <w:t>七、一般公共预算支出表</w:t>
      </w:r>
    </w:p>
    <w:p w14:paraId="23BB30C9">
      <w:pPr>
        <w:pStyle w:val="2"/>
        <w:spacing w:before="37" w:line="222" w:lineRule="auto"/>
      </w:pPr>
      <w:r>
        <w:rPr>
          <w:spacing w:val="9"/>
        </w:rPr>
        <w:t>八、一般公共预算基本支出表</w:t>
      </w:r>
    </w:p>
    <w:p w14:paraId="27420E7A">
      <w:pPr>
        <w:pStyle w:val="2"/>
        <w:spacing w:before="57" w:line="222" w:lineRule="auto"/>
      </w:pPr>
      <w:r>
        <w:rPr>
          <w:spacing w:val="6"/>
        </w:rPr>
        <w:t>九、一般公共预算“三公”经费支出预算表</w:t>
      </w:r>
    </w:p>
    <w:p w14:paraId="5EAC5557">
      <w:pPr>
        <w:pStyle w:val="2"/>
        <w:spacing w:before="36" w:line="220" w:lineRule="auto"/>
      </w:pPr>
      <w:r>
        <w:rPr>
          <w:spacing w:val="6"/>
        </w:rPr>
        <w:t>十、政府性基金预算支出表</w:t>
      </w:r>
    </w:p>
    <w:p w14:paraId="146C54E1">
      <w:pPr>
        <w:pStyle w:val="2"/>
        <w:spacing w:before="52" w:line="222" w:lineRule="auto"/>
      </w:pPr>
      <w:r>
        <w:rPr>
          <w:spacing w:val="7"/>
        </w:rPr>
        <w:t>十一、国有资本经营预算支出表</w:t>
      </w:r>
    </w:p>
    <w:p w14:paraId="1D13FE96">
      <w:pPr>
        <w:pStyle w:val="2"/>
        <w:spacing w:before="30" w:line="222" w:lineRule="auto"/>
      </w:pPr>
      <w:r>
        <w:rPr>
          <w:spacing w:val="5"/>
        </w:rPr>
        <w:t>十二、项目支出表</w:t>
      </w:r>
    </w:p>
    <w:p w14:paraId="6A76F77E">
      <w:pPr>
        <w:pStyle w:val="2"/>
        <w:spacing w:before="65" w:line="222" w:lineRule="auto"/>
      </w:pPr>
      <w:r>
        <w:rPr>
          <w:spacing w:val="6"/>
        </w:rPr>
        <w:t>十三、政府采购预算表</w:t>
      </w:r>
    </w:p>
    <w:p w14:paraId="2C8023D8">
      <w:pPr>
        <w:pStyle w:val="2"/>
        <w:spacing w:before="47" w:line="222" w:lineRule="auto"/>
      </w:pPr>
      <w:r>
        <w:rPr>
          <w:spacing w:val="6"/>
        </w:rPr>
        <w:t>十四、政府购买服务预算表</w:t>
      </w:r>
    </w:p>
    <w:p w14:paraId="27DA1DE1">
      <w:pPr>
        <w:pStyle w:val="2"/>
        <w:spacing w:before="37" w:line="222" w:lineRule="auto"/>
      </w:pPr>
      <w:r>
        <w:rPr>
          <w:spacing w:val="7"/>
        </w:rPr>
        <w:t>十五、项目支出预算绩效目标表</w:t>
      </w:r>
    </w:p>
    <w:p w14:paraId="48EAF9C9">
      <w:pPr>
        <w:spacing w:line="222" w:lineRule="auto"/>
        <w:sectPr>
          <w:footerReference r:id="rId5" w:type="default"/>
          <w:pgSz w:w="12460" w:h="17230"/>
          <w:pgMar w:top="1309" w:right="1689" w:bottom="1592" w:left="1459" w:header="0" w:footer="1457" w:gutter="0"/>
          <w:cols w:space="720" w:num="1"/>
        </w:sectPr>
      </w:pPr>
    </w:p>
    <w:p w14:paraId="139EAFFB">
      <w:pPr>
        <w:spacing w:before="88" w:line="224" w:lineRule="auto"/>
        <w:ind w:left="3986"/>
        <w:rPr>
          <w:rFonts w:ascii="楷体" w:hAnsi="楷体" w:eastAsia="楷体" w:cs="楷体"/>
          <w:sz w:val="42"/>
          <w:szCs w:val="42"/>
        </w:rPr>
      </w:pPr>
      <w:r>
        <w:rPr>
          <w:rFonts w:ascii="楷体" w:hAnsi="楷体" w:eastAsia="楷体" w:cs="楷体"/>
          <w:b/>
          <w:bCs/>
          <w:spacing w:val="-6"/>
          <w:sz w:val="42"/>
          <w:szCs w:val="42"/>
        </w:rPr>
        <w:t>第一部分</w:t>
      </w:r>
    </w:p>
    <w:p w14:paraId="3E460309">
      <w:pPr>
        <w:spacing w:before="106" w:line="223" w:lineRule="auto"/>
        <w:ind w:left="1936"/>
        <w:rPr>
          <w:rFonts w:ascii="楷体" w:hAnsi="楷体" w:eastAsia="楷体" w:cs="楷体"/>
          <w:sz w:val="42"/>
          <w:szCs w:val="42"/>
        </w:rPr>
      </w:pPr>
      <w:r>
        <w:rPr>
          <w:rFonts w:ascii="楷体" w:hAnsi="楷体" w:eastAsia="楷体" w:cs="楷体"/>
          <w:b/>
          <w:bCs/>
          <w:spacing w:val="13"/>
          <w:sz w:val="42"/>
          <w:szCs w:val="42"/>
        </w:rPr>
        <w:t>庄河市新华环境卫生管理处概况</w:t>
      </w:r>
    </w:p>
    <w:p w14:paraId="472B3C99">
      <w:pPr>
        <w:spacing w:line="351" w:lineRule="auto"/>
        <w:rPr>
          <w:rFonts w:ascii="Arial"/>
          <w:sz w:val="21"/>
        </w:rPr>
      </w:pPr>
    </w:p>
    <w:p w14:paraId="52C49C12">
      <w:pPr>
        <w:spacing w:before="104" w:line="221" w:lineRule="auto"/>
        <w:ind w:left="604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一、主要职责</w:t>
      </w:r>
    </w:p>
    <w:p w14:paraId="6B232A6D">
      <w:pPr>
        <w:pStyle w:val="2"/>
        <w:spacing w:before="218" w:line="220" w:lineRule="auto"/>
        <w:ind w:left="760"/>
        <w:rPr>
          <w:sz w:val="32"/>
          <w:szCs w:val="32"/>
        </w:rPr>
      </w:pPr>
      <w:r>
        <w:rPr>
          <w:rFonts w:hint="eastAsia"/>
          <w:spacing w:val="3"/>
          <w:sz w:val="32"/>
          <w:szCs w:val="32"/>
          <w:lang w:eastAsia="zh-CN"/>
        </w:rPr>
        <w:t>（一）</w:t>
      </w:r>
      <w:r>
        <w:rPr>
          <w:spacing w:val="3"/>
          <w:sz w:val="32"/>
          <w:szCs w:val="32"/>
        </w:rPr>
        <w:t>对辖区中标企业的环境卫生作业情况进行检查、指导。</w:t>
      </w:r>
    </w:p>
    <w:p w14:paraId="6964E945">
      <w:pPr>
        <w:pStyle w:val="2"/>
        <w:spacing w:before="228" w:line="220" w:lineRule="auto"/>
        <w:ind w:left="760"/>
        <w:rPr>
          <w:sz w:val="32"/>
          <w:szCs w:val="32"/>
        </w:rPr>
      </w:pPr>
      <w:r>
        <w:rPr>
          <w:rFonts w:hint="eastAsia"/>
          <w:spacing w:val="5"/>
          <w:sz w:val="32"/>
          <w:szCs w:val="32"/>
          <w:lang w:eastAsia="zh-CN"/>
        </w:rPr>
        <w:t>（二）</w:t>
      </w:r>
      <w:r>
        <w:rPr>
          <w:spacing w:val="5"/>
          <w:sz w:val="32"/>
          <w:szCs w:val="32"/>
        </w:rPr>
        <w:t>对辖区内的垃圾分类工作进行指导检查。</w:t>
      </w:r>
    </w:p>
    <w:p w14:paraId="37DED036">
      <w:pPr>
        <w:pStyle w:val="2"/>
        <w:spacing w:before="210" w:line="222" w:lineRule="auto"/>
        <w:ind w:left="760"/>
        <w:rPr>
          <w:sz w:val="32"/>
          <w:szCs w:val="32"/>
        </w:rPr>
      </w:pPr>
      <w:r>
        <w:rPr>
          <w:rFonts w:hint="eastAsia"/>
          <w:spacing w:val="4"/>
          <w:sz w:val="32"/>
          <w:szCs w:val="32"/>
          <w:lang w:eastAsia="zh-CN"/>
        </w:rPr>
        <w:t>（三）</w:t>
      </w:r>
      <w:r>
        <w:rPr>
          <w:spacing w:val="4"/>
          <w:sz w:val="32"/>
          <w:szCs w:val="32"/>
        </w:rPr>
        <w:t>完成新华街道党工委、办事处交办的其他任务。</w:t>
      </w:r>
    </w:p>
    <w:p w14:paraId="265BF8A9">
      <w:pPr>
        <w:spacing w:line="396" w:lineRule="auto"/>
        <w:rPr>
          <w:rFonts w:ascii="Arial"/>
          <w:sz w:val="21"/>
        </w:rPr>
      </w:pPr>
    </w:p>
    <w:p w14:paraId="006C631C">
      <w:pPr>
        <w:spacing w:before="104" w:line="222" w:lineRule="auto"/>
        <w:ind w:left="604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4"/>
          <w:sz w:val="32"/>
          <w:szCs w:val="32"/>
        </w:rPr>
        <w:t>二、机构设置</w:t>
      </w:r>
    </w:p>
    <w:p w14:paraId="6854CE39">
      <w:pPr>
        <w:pStyle w:val="2"/>
        <w:spacing w:before="198" w:line="353" w:lineRule="auto"/>
        <w:ind w:firstLine="600"/>
        <w:rPr>
          <w:sz w:val="32"/>
          <w:szCs w:val="32"/>
        </w:rPr>
      </w:pPr>
      <w:r>
        <w:rPr>
          <w:sz w:val="32"/>
          <w:szCs w:val="32"/>
        </w:rPr>
        <w:t>庄河市新华环境卫生管理处设置办公室，人员及</w:t>
      </w:r>
      <w:r>
        <w:rPr>
          <w:spacing w:val="-1"/>
          <w:sz w:val="32"/>
          <w:szCs w:val="32"/>
        </w:rPr>
        <w:t>财务实行独立管</w:t>
      </w:r>
      <w:r>
        <w:rPr>
          <w:sz w:val="32"/>
          <w:szCs w:val="32"/>
        </w:rPr>
        <w:t xml:space="preserve"> </w:t>
      </w:r>
      <w:r>
        <w:rPr>
          <w:spacing w:val="-17"/>
          <w:sz w:val="32"/>
          <w:szCs w:val="32"/>
        </w:rPr>
        <w:t>理。</w:t>
      </w:r>
    </w:p>
    <w:p w14:paraId="470E2621">
      <w:pPr>
        <w:spacing w:line="353" w:lineRule="auto"/>
        <w:rPr>
          <w:sz w:val="32"/>
          <w:szCs w:val="32"/>
        </w:rPr>
        <w:sectPr>
          <w:footerReference r:id="rId6" w:type="default"/>
          <w:pgSz w:w="12220" w:h="17070"/>
          <w:pgMar w:top="1336" w:right="1365" w:bottom="1438" w:left="1299" w:header="0" w:footer="1243" w:gutter="0"/>
          <w:cols w:space="720" w:num="1"/>
        </w:sectPr>
      </w:pPr>
    </w:p>
    <w:p w14:paraId="0798794B">
      <w:pPr>
        <w:spacing w:before="90" w:line="224" w:lineRule="auto"/>
        <w:ind w:left="4006"/>
        <w:rPr>
          <w:rFonts w:ascii="楷体" w:hAnsi="楷体" w:eastAsia="楷体" w:cs="楷体"/>
          <w:sz w:val="43"/>
          <w:szCs w:val="43"/>
        </w:rPr>
      </w:pPr>
      <w:r>
        <w:rPr>
          <w:rFonts w:ascii="楷体" w:hAnsi="楷体" w:eastAsia="楷体" w:cs="楷体"/>
          <w:b/>
          <w:bCs/>
          <w:spacing w:val="-13"/>
          <w:sz w:val="43"/>
          <w:szCs w:val="43"/>
        </w:rPr>
        <w:t>第二部分</w:t>
      </w:r>
    </w:p>
    <w:p w14:paraId="6A87F908">
      <w:pPr>
        <w:spacing w:before="69" w:line="225" w:lineRule="auto"/>
        <w:ind w:left="2356"/>
        <w:rPr>
          <w:rFonts w:ascii="楷体" w:hAnsi="楷体" w:eastAsia="楷体" w:cs="楷体"/>
          <w:sz w:val="43"/>
          <w:szCs w:val="43"/>
        </w:rPr>
      </w:pPr>
      <w:r>
        <w:rPr>
          <w:rFonts w:ascii="楷体" w:hAnsi="楷体" w:eastAsia="楷体" w:cs="楷体"/>
          <w:b/>
          <w:bCs/>
          <w:spacing w:val="11"/>
          <w:sz w:val="43"/>
          <w:szCs w:val="43"/>
        </w:rPr>
        <w:t>2025年单位预算情况说明</w:t>
      </w:r>
    </w:p>
    <w:p w14:paraId="2C9F6A62">
      <w:pPr>
        <w:spacing w:line="345" w:lineRule="auto"/>
        <w:rPr>
          <w:rFonts w:ascii="Arial"/>
          <w:sz w:val="21"/>
        </w:rPr>
      </w:pPr>
    </w:p>
    <w:p w14:paraId="5F1E21F6">
      <w:pPr>
        <w:spacing w:line="345" w:lineRule="auto"/>
        <w:rPr>
          <w:rFonts w:ascii="Arial"/>
          <w:sz w:val="21"/>
        </w:rPr>
      </w:pPr>
    </w:p>
    <w:p w14:paraId="624904F4">
      <w:pPr>
        <w:spacing w:before="101" w:line="222" w:lineRule="auto"/>
        <w:ind w:left="63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9"/>
          <w:sz w:val="31"/>
          <w:szCs w:val="31"/>
        </w:rPr>
        <w:t>一、2025年单位收支预算情况</w:t>
      </w:r>
    </w:p>
    <w:p w14:paraId="7F60CC9F">
      <w:pPr>
        <w:pStyle w:val="2"/>
        <w:spacing w:before="246" w:line="220" w:lineRule="auto"/>
        <w:ind w:left="824"/>
      </w:pPr>
      <w:r>
        <w:rPr>
          <w:rFonts w:hint="eastAsia" w:ascii="楷体" w:hAnsi="楷体" w:eastAsia="楷体" w:cs="楷体"/>
          <w:b/>
          <w:bCs/>
          <w:spacing w:val="15"/>
          <w:lang w:eastAsia="zh-CN"/>
        </w:rPr>
        <w:t>（一）</w:t>
      </w:r>
      <w:r>
        <w:rPr>
          <w:rFonts w:ascii="楷体" w:hAnsi="楷体" w:eastAsia="楷体" w:cs="楷体"/>
          <w:b/>
          <w:bCs/>
          <w:spacing w:val="15"/>
        </w:rPr>
        <w:t>2025年收入预算288.87万元，</w:t>
      </w:r>
      <w:r>
        <w:rPr>
          <w:rFonts w:ascii="楷体" w:hAnsi="楷体" w:eastAsia="楷体" w:cs="楷体"/>
          <w:spacing w:val="-53"/>
        </w:rPr>
        <w:t xml:space="preserve"> </w:t>
      </w:r>
      <w:r>
        <w:rPr>
          <w:spacing w:val="15"/>
        </w:rPr>
        <w:t>其中：</w:t>
      </w:r>
    </w:p>
    <w:p w14:paraId="1164CE78">
      <w:pPr>
        <w:pStyle w:val="2"/>
        <w:spacing w:before="263" w:line="222" w:lineRule="auto"/>
        <w:ind w:left="629"/>
      </w:pPr>
      <w:r>
        <w:rPr>
          <w:rFonts w:hint="eastAsia" w:ascii="宋体" w:hAnsi="宋体" w:eastAsia="宋体" w:cs="宋体"/>
          <w:spacing w:val="11"/>
          <w:lang w:eastAsia="zh-CN"/>
        </w:rPr>
        <w:t>1.</w:t>
      </w:r>
      <w:r>
        <w:rPr>
          <w:spacing w:val="11"/>
        </w:rPr>
        <w:t>一般公共预算拨款收入288.87万元；</w:t>
      </w:r>
    </w:p>
    <w:p w14:paraId="2196D51B">
      <w:pPr>
        <w:pStyle w:val="2"/>
        <w:spacing w:before="255" w:line="220" w:lineRule="auto"/>
        <w:ind w:left="629"/>
      </w:pPr>
      <w:r>
        <w:rPr>
          <w:rFonts w:hint="eastAsia" w:ascii="宋体" w:hAnsi="宋体" w:eastAsia="宋体" w:cs="宋体"/>
          <w:spacing w:val="15"/>
          <w:lang w:eastAsia="zh-CN"/>
        </w:rPr>
        <w:t>2.</w:t>
      </w:r>
      <w:r>
        <w:rPr>
          <w:spacing w:val="15"/>
        </w:rPr>
        <w:t>政府性基金预算拨款收入0万元；</w:t>
      </w:r>
    </w:p>
    <w:p w14:paraId="07933D2D">
      <w:pPr>
        <w:pStyle w:val="2"/>
        <w:spacing w:before="243" w:line="222" w:lineRule="auto"/>
        <w:ind w:left="629"/>
      </w:pPr>
      <w:r>
        <w:rPr>
          <w:rFonts w:hint="eastAsia" w:ascii="宋体" w:hAnsi="宋体" w:eastAsia="宋体" w:cs="宋体"/>
          <w:spacing w:val="14"/>
          <w:lang w:eastAsia="zh-CN"/>
        </w:rPr>
        <w:t>3.</w:t>
      </w:r>
      <w:r>
        <w:rPr>
          <w:spacing w:val="14"/>
        </w:rPr>
        <w:t>国有资本经营预算拨款收入0万元；</w:t>
      </w:r>
    </w:p>
    <w:p w14:paraId="4FEB49FE">
      <w:pPr>
        <w:pStyle w:val="2"/>
        <w:spacing w:before="269" w:line="222" w:lineRule="auto"/>
        <w:ind w:left="629"/>
      </w:pPr>
      <w:r>
        <w:rPr>
          <w:rFonts w:hint="eastAsia" w:ascii="宋体" w:hAnsi="宋体" w:eastAsia="宋体" w:cs="宋体"/>
          <w:spacing w:val="16"/>
          <w:lang w:eastAsia="zh-CN"/>
        </w:rPr>
        <w:t>4.</w:t>
      </w:r>
      <w:r>
        <w:rPr>
          <w:spacing w:val="16"/>
        </w:rPr>
        <w:t>财政专户管理资金收入0万元；</w:t>
      </w:r>
    </w:p>
    <w:p w14:paraId="39E7722F">
      <w:pPr>
        <w:pStyle w:val="2"/>
        <w:spacing w:before="253" w:line="325" w:lineRule="auto"/>
        <w:ind w:right="133" w:firstLine="629"/>
      </w:pPr>
      <w:r>
        <w:rPr>
          <w:rFonts w:hint="eastAsia" w:ascii="宋体" w:hAnsi="宋体" w:eastAsia="宋体" w:cs="宋体"/>
          <w:spacing w:val="14"/>
          <w:lang w:eastAsia="zh-CN"/>
        </w:rPr>
        <w:t>5.</w:t>
      </w:r>
      <w:r>
        <w:rPr>
          <w:spacing w:val="14"/>
        </w:rPr>
        <w:t>单位资金收入0万元，其中：事业收入0万元，上级补助收入</w:t>
      </w:r>
      <w:r>
        <w:rPr>
          <w:spacing w:val="17"/>
        </w:rPr>
        <w:t xml:space="preserve"> </w:t>
      </w:r>
      <w:r>
        <w:rPr>
          <w:spacing w:val="25"/>
        </w:rPr>
        <w:t>0万元，附属单位上缴收入0万元，事业单位经营收入0</w:t>
      </w:r>
      <w:r>
        <w:rPr>
          <w:spacing w:val="24"/>
        </w:rPr>
        <w:t>万元，其他</w:t>
      </w:r>
      <w:r>
        <w:t xml:space="preserve"> </w:t>
      </w:r>
      <w:r>
        <w:rPr>
          <w:spacing w:val="16"/>
        </w:rPr>
        <w:t>收入0万元；</w:t>
      </w:r>
    </w:p>
    <w:p w14:paraId="2CDBAD18">
      <w:pPr>
        <w:pStyle w:val="2"/>
        <w:spacing w:before="232" w:line="301" w:lineRule="auto"/>
        <w:ind w:firstLine="629"/>
      </w:pPr>
      <w:r>
        <w:rPr>
          <w:rFonts w:hint="eastAsia" w:ascii="宋体" w:hAnsi="宋体" w:eastAsia="宋体" w:cs="宋体"/>
          <w:spacing w:val="9"/>
          <w:lang w:eastAsia="zh-CN"/>
        </w:rPr>
        <w:t>6.</w:t>
      </w:r>
      <w:r>
        <w:rPr>
          <w:spacing w:val="9"/>
        </w:rPr>
        <w:t>上年结转结余0万元，其中：上年财政专户管理资金超收收入</w:t>
      </w:r>
      <w:r>
        <w:rPr>
          <w:spacing w:val="3"/>
        </w:rPr>
        <w:t xml:space="preserve">  </w:t>
      </w:r>
      <w:r>
        <w:rPr>
          <w:spacing w:val="18"/>
        </w:rPr>
        <w:t>0万元，政府性基金预算超收收入0万元，单位资金超收收入0万元。</w:t>
      </w:r>
    </w:p>
    <w:p w14:paraId="1D2C101B">
      <w:pPr>
        <w:pStyle w:val="2"/>
        <w:spacing w:before="235" w:line="378" w:lineRule="auto"/>
        <w:ind w:right="113" w:firstLine="819"/>
        <w:jc w:val="both"/>
      </w:pPr>
      <w:r>
        <w:rPr>
          <w:rFonts w:hint="eastAsia" w:ascii="楷体" w:hAnsi="楷体" w:eastAsia="楷体" w:cs="楷体"/>
          <w:spacing w:val="21"/>
          <w:lang w:eastAsia="zh-CN"/>
        </w:rPr>
        <w:t>（二）</w:t>
      </w:r>
      <w:r>
        <w:rPr>
          <w:rFonts w:ascii="楷体" w:hAnsi="楷体" w:eastAsia="楷体" w:cs="楷体"/>
          <w:spacing w:val="21"/>
        </w:rPr>
        <w:t>2025年支出预算288.87万元</w:t>
      </w:r>
      <w:r>
        <w:rPr>
          <w:rFonts w:ascii="楷体" w:hAnsi="楷体" w:eastAsia="楷体" w:cs="楷体"/>
          <w:spacing w:val="20"/>
        </w:rPr>
        <w:t>，</w:t>
      </w:r>
      <w:r>
        <w:rPr>
          <w:spacing w:val="20"/>
        </w:rPr>
        <w:t>其中：人员经费275.87万</w:t>
      </w:r>
      <w:r>
        <w:t xml:space="preserve"> </w:t>
      </w:r>
      <w:r>
        <w:rPr>
          <w:spacing w:val="13"/>
        </w:rPr>
        <w:t>元，公用经费13万元，部门预算项目经费0万元，本年预留项目经费</w:t>
      </w:r>
      <w:r>
        <w:t xml:space="preserve"> </w:t>
      </w:r>
      <w:r>
        <w:rPr>
          <w:spacing w:val="17"/>
        </w:rPr>
        <w:t>0万元。</w:t>
      </w:r>
    </w:p>
    <w:p w14:paraId="5F6DDB6C">
      <w:pPr>
        <w:pStyle w:val="2"/>
        <w:spacing w:before="5" w:line="368" w:lineRule="auto"/>
        <w:ind w:right="163" w:firstLine="629"/>
        <w:rPr>
          <w:sz w:val="32"/>
          <w:szCs w:val="32"/>
        </w:rPr>
      </w:pPr>
      <w:r>
        <w:rPr>
          <w:spacing w:val="17"/>
        </w:rPr>
        <w:t>在支出预算中政府采购支出0万元；政府购买服务支出0万元；</w:t>
      </w:r>
      <w:r>
        <w:rPr>
          <w:spacing w:val="7"/>
        </w:rPr>
        <w:t xml:space="preserve"> </w:t>
      </w:r>
      <w:r>
        <w:rPr>
          <w:spacing w:val="13"/>
        </w:rPr>
        <w:t>纳入预算绩效管理的特定目标类和其他运转类项目共0个，涉及资金</w:t>
      </w:r>
      <w:r>
        <w:rPr>
          <w:spacing w:val="15"/>
        </w:rPr>
        <w:t xml:space="preserve"> </w:t>
      </w:r>
      <w:r>
        <w:rPr>
          <w:i/>
          <w:iCs/>
          <w:spacing w:val="-2"/>
          <w:sz w:val="32"/>
          <w:szCs w:val="32"/>
        </w:rPr>
        <w:t>0万元。</w:t>
      </w:r>
    </w:p>
    <w:p w14:paraId="0E2B96DC">
      <w:pPr>
        <w:pStyle w:val="2"/>
        <w:spacing w:before="1" w:line="218" w:lineRule="auto"/>
        <w:ind w:left="629"/>
      </w:pPr>
      <w:r>
        <w:rPr>
          <w:spacing w:val="19"/>
        </w:rPr>
        <w:t>年终结转结余0万元。</w:t>
      </w:r>
    </w:p>
    <w:p w14:paraId="1994178B">
      <w:pPr>
        <w:pStyle w:val="2"/>
        <w:spacing w:before="277" w:line="222" w:lineRule="auto"/>
        <w:ind w:left="629"/>
      </w:pPr>
      <w:r>
        <w:rPr>
          <w:spacing w:val="13"/>
        </w:rPr>
        <w:t>2025年预算收支比上年减少34.13万元，减少主要原因是有人员</w:t>
      </w:r>
    </w:p>
    <w:p w14:paraId="7D606664">
      <w:pPr>
        <w:spacing w:line="222" w:lineRule="auto"/>
        <w:sectPr>
          <w:footerReference r:id="rId7" w:type="default"/>
          <w:pgSz w:w="12460" w:h="17230"/>
          <w:pgMar w:top="1344" w:right="1264" w:bottom="1571" w:left="1479" w:header="0" w:footer="1427" w:gutter="0"/>
          <w:cols w:space="720" w:num="1"/>
        </w:sectPr>
      </w:pPr>
    </w:p>
    <w:p w14:paraId="50E88F35">
      <w:pPr>
        <w:pStyle w:val="2"/>
        <w:spacing w:before="63" w:line="220" w:lineRule="auto"/>
      </w:pPr>
      <w:r>
        <w:t>退休支出下降。</w:t>
      </w:r>
    </w:p>
    <w:p w14:paraId="0DD02223">
      <w:pPr>
        <w:spacing w:before="260" w:line="222" w:lineRule="auto"/>
        <w:ind w:left="62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10"/>
          <w:sz w:val="31"/>
          <w:szCs w:val="31"/>
        </w:rPr>
        <w:t>二、2025年财政拨款收支预算情况</w:t>
      </w:r>
    </w:p>
    <w:p w14:paraId="38DD26F7">
      <w:pPr>
        <w:pStyle w:val="2"/>
        <w:spacing w:before="249" w:line="383" w:lineRule="auto"/>
        <w:ind w:right="29" w:firstLine="619"/>
        <w:jc w:val="both"/>
        <w:rPr>
          <w:sz w:val="26"/>
          <w:szCs w:val="26"/>
        </w:rPr>
      </w:pPr>
      <w:r>
        <w:rPr>
          <w:spacing w:val="12"/>
        </w:rPr>
        <w:t>2025年当年财政拨款收入预算288.87万元，比2024年减少34.13</w:t>
      </w:r>
      <w:r>
        <w:t xml:space="preserve"> </w:t>
      </w:r>
      <w:r>
        <w:rPr>
          <w:spacing w:val="6"/>
        </w:rPr>
        <w:t>万元。其中：一般公共预算收入288.87万元，政府性基金</w:t>
      </w:r>
      <w:r>
        <w:rPr>
          <w:spacing w:val="5"/>
        </w:rPr>
        <w:t>收入0万元，</w:t>
      </w:r>
      <w:r>
        <w:t xml:space="preserve"> </w:t>
      </w:r>
      <w:r>
        <w:rPr>
          <w:spacing w:val="7"/>
        </w:rPr>
        <w:t>国有资本经营预算收入0万元。加上年结转结余0万元后，共计288.87</w:t>
      </w:r>
      <w:r>
        <w:rPr>
          <w:spacing w:val="10"/>
        </w:rPr>
        <w:t xml:space="preserve"> </w:t>
      </w:r>
      <w:r>
        <w:rPr>
          <w:spacing w:val="17"/>
          <w:sz w:val="26"/>
          <w:szCs w:val="26"/>
        </w:rPr>
        <w:t>万元</w:t>
      </w:r>
      <w:r>
        <w:rPr>
          <w:spacing w:val="-58"/>
          <w:sz w:val="26"/>
          <w:szCs w:val="26"/>
        </w:rPr>
        <w:t xml:space="preserve"> </w:t>
      </w:r>
      <w:r>
        <w:rPr>
          <w:spacing w:val="17"/>
          <w:sz w:val="26"/>
          <w:szCs w:val="26"/>
        </w:rPr>
        <w:t>。</w:t>
      </w:r>
    </w:p>
    <w:p w14:paraId="41E6E28D">
      <w:pPr>
        <w:pStyle w:val="2"/>
        <w:spacing w:before="38" w:line="370" w:lineRule="auto"/>
        <w:ind w:right="29" w:firstLine="619"/>
        <w:jc w:val="both"/>
      </w:pPr>
      <w:r>
        <w:rPr>
          <w:spacing w:val="20"/>
        </w:rPr>
        <w:t>2025年财政拨款支出预算288.87万元，比2024年减少3</w:t>
      </w:r>
      <w:r>
        <w:rPr>
          <w:spacing w:val="19"/>
        </w:rPr>
        <w:t>4.13万</w:t>
      </w:r>
      <w:r>
        <w:t xml:space="preserve"> </w:t>
      </w:r>
      <w:r>
        <w:rPr>
          <w:spacing w:val="10"/>
        </w:rPr>
        <w:t>元。按照“人员经费按实际，公用经费按定额，项</w:t>
      </w:r>
      <w:r>
        <w:rPr>
          <w:spacing w:val="9"/>
        </w:rPr>
        <w:t>目经费按需要与可</w:t>
      </w:r>
      <w:r>
        <w:t xml:space="preserve"> </w:t>
      </w:r>
      <w:r>
        <w:rPr>
          <w:spacing w:val="20"/>
        </w:rPr>
        <w:t>能”的原则编制。其中：人员经费275.87万元，公用经费13万元，</w:t>
      </w:r>
      <w:r>
        <w:rPr>
          <w:spacing w:val="4"/>
        </w:rPr>
        <w:t xml:space="preserve"> </w:t>
      </w:r>
      <w:r>
        <w:rPr>
          <w:spacing w:val="19"/>
        </w:rPr>
        <w:t>部门预算项目经费0万元，本年预留项目经费0万元。</w:t>
      </w:r>
    </w:p>
    <w:p w14:paraId="3C35CB74">
      <w:pPr>
        <w:spacing w:before="24" w:line="221" w:lineRule="auto"/>
        <w:ind w:left="62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8"/>
          <w:sz w:val="31"/>
          <w:szCs w:val="31"/>
        </w:rPr>
        <w:t>三、2025年一般公共预算支出预算情况</w:t>
      </w:r>
    </w:p>
    <w:p w14:paraId="4A0D5A8F">
      <w:pPr>
        <w:spacing w:before="239" w:line="227" w:lineRule="auto"/>
        <w:ind w:left="81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b/>
          <w:bCs/>
          <w:spacing w:val="15"/>
          <w:sz w:val="31"/>
          <w:szCs w:val="31"/>
          <w:lang w:eastAsia="zh-CN"/>
        </w:rPr>
        <w:t>（一）</w:t>
      </w:r>
      <w:r>
        <w:rPr>
          <w:rFonts w:ascii="楷体" w:hAnsi="楷体" w:eastAsia="楷体" w:cs="楷体"/>
          <w:b/>
          <w:bCs/>
          <w:spacing w:val="15"/>
          <w:sz w:val="31"/>
          <w:szCs w:val="31"/>
        </w:rPr>
        <w:t>一般公共预算支出预算总体情况</w:t>
      </w:r>
    </w:p>
    <w:p w14:paraId="26E745F6">
      <w:pPr>
        <w:pStyle w:val="2"/>
        <w:spacing w:before="274" w:line="368" w:lineRule="auto"/>
        <w:ind w:firstLine="619"/>
        <w:jc w:val="both"/>
      </w:pPr>
      <w:r>
        <w:rPr>
          <w:spacing w:val="19"/>
        </w:rPr>
        <w:t>2025年一般公共预算支出预算288.</w:t>
      </w:r>
      <w:r>
        <w:rPr>
          <w:spacing w:val="18"/>
        </w:rPr>
        <w:t>87万元，占本年支出预算合</w:t>
      </w:r>
      <w:r>
        <w:t xml:space="preserve"> </w:t>
      </w:r>
      <w:r>
        <w:rPr>
          <w:spacing w:val="8"/>
        </w:rPr>
        <w:t>计的100%。与2024年相比，</w:t>
      </w:r>
      <w:r>
        <w:rPr>
          <w:spacing w:val="107"/>
        </w:rPr>
        <w:t xml:space="preserve"> </w:t>
      </w:r>
      <w:r>
        <w:rPr>
          <w:spacing w:val="8"/>
        </w:rPr>
        <w:t>一般公共预算支出</w:t>
      </w:r>
      <w:r>
        <w:rPr>
          <w:spacing w:val="7"/>
        </w:rPr>
        <w:t>预算减少34.13万元，</w:t>
      </w:r>
      <w:r>
        <w:t xml:space="preserve"> </w:t>
      </w:r>
      <w:r>
        <w:rPr>
          <w:spacing w:val="9"/>
        </w:rPr>
        <w:t>下降10%。主要原因：有人员退休支出下降。</w:t>
      </w:r>
    </w:p>
    <w:p w14:paraId="1C4F564B">
      <w:pPr>
        <w:spacing w:before="14" w:line="228" w:lineRule="auto"/>
        <w:ind w:left="80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b/>
          <w:bCs/>
          <w:spacing w:val="17"/>
          <w:sz w:val="31"/>
          <w:szCs w:val="31"/>
          <w:lang w:eastAsia="zh-CN"/>
        </w:rPr>
        <w:t>（二）</w:t>
      </w:r>
      <w:r>
        <w:rPr>
          <w:rFonts w:ascii="楷体" w:hAnsi="楷体" w:eastAsia="楷体" w:cs="楷体"/>
          <w:b/>
          <w:bCs/>
          <w:spacing w:val="17"/>
          <w:sz w:val="31"/>
          <w:szCs w:val="31"/>
        </w:rPr>
        <w:t>一般公共预算支出预算结构</w:t>
      </w:r>
    </w:p>
    <w:p w14:paraId="35A8AC56">
      <w:pPr>
        <w:pStyle w:val="2"/>
        <w:spacing w:before="257" w:line="222" w:lineRule="auto"/>
        <w:ind w:left="619"/>
      </w:pPr>
      <w:r>
        <w:rPr>
          <w:spacing w:val="9"/>
        </w:rPr>
        <w:t>2025年一般公共预算支出预算万元，主要用于以下方面：</w:t>
      </w:r>
    </w:p>
    <w:p w14:paraId="1DB611BF">
      <w:pPr>
        <w:spacing w:before="63" w:line="223" w:lineRule="auto"/>
        <w:ind w:left="4359"/>
        <w:rPr>
          <w:rFonts w:ascii="黑体" w:hAnsi="黑体" w:eastAsia="黑体" w:cs="黑体"/>
          <w:sz w:val="11"/>
          <w:szCs w:val="11"/>
        </w:rPr>
      </w:pPr>
      <w:r>
        <w:rPr>
          <w:rFonts w:ascii="黑体" w:hAnsi="黑体" w:eastAsia="黑体" w:cs="黑体"/>
          <w:sz w:val="11"/>
          <w:szCs w:val="11"/>
        </w:rPr>
        <w:t>嘛</w:t>
      </w:r>
    </w:p>
    <w:p w14:paraId="2CE13743">
      <w:pPr>
        <w:pStyle w:val="2"/>
        <w:spacing w:before="51" w:line="377" w:lineRule="auto"/>
        <w:ind w:right="29" w:firstLine="619"/>
      </w:pPr>
      <w:r>
        <w:rPr>
          <w:rFonts w:hint="eastAsia" w:ascii="宋体" w:hAnsi="宋体" w:eastAsia="宋体" w:cs="宋体"/>
          <w:spacing w:val="19"/>
          <w:lang w:eastAsia="zh-CN"/>
        </w:rPr>
        <w:t>1.</w:t>
      </w:r>
      <w:r>
        <w:rPr>
          <w:spacing w:val="19"/>
        </w:rPr>
        <w:t>城乡社区支出288.87万元，比2024年预算减少34.13万元，</w:t>
      </w:r>
      <w:r>
        <w:t xml:space="preserve"> </w:t>
      </w:r>
      <w:r>
        <w:rPr>
          <w:spacing w:val="8"/>
        </w:rPr>
        <w:t>下降10%。</w:t>
      </w:r>
    </w:p>
    <w:p w14:paraId="118C742B">
      <w:pPr>
        <w:spacing w:before="1" w:line="221" w:lineRule="auto"/>
        <w:ind w:left="62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7"/>
          <w:sz w:val="31"/>
          <w:szCs w:val="31"/>
        </w:rPr>
        <w:t>四、2025年一般公共预算基本支出预算情况</w:t>
      </w:r>
    </w:p>
    <w:p w14:paraId="42317B79">
      <w:pPr>
        <w:pStyle w:val="2"/>
        <w:spacing w:before="252" w:line="383" w:lineRule="auto"/>
        <w:ind w:right="76" w:firstLine="619"/>
      </w:pPr>
      <w:r>
        <w:rPr>
          <w:spacing w:val="19"/>
        </w:rPr>
        <w:t>2025年一般公共预算基本支出预算288.87万元，包括人员经费</w:t>
      </w:r>
      <w:r>
        <w:rPr>
          <w:spacing w:val="9"/>
        </w:rPr>
        <w:t xml:space="preserve"> </w:t>
      </w:r>
      <w:r>
        <w:rPr>
          <w:spacing w:val="16"/>
        </w:rPr>
        <w:t>275.87万元，公用经费13万元。其</w:t>
      </w:r>
      <w:r>
        <w:rPr>
          <w:spacing w:val="15"/>
        </w:rPr>
        <w:t>中：</w:t>
      </w:r>
    </w:p>
    <w:p w14:paraId="6E9F63B2">
      <w:pPr>
        <w:spacing w:line="383" w:lineRule="auto"/>
        <w:sectPr>
          <w:footerReference r:id="rId8" w:type="default"/>
          <w:pgSz w:w="12360" w:h="17160"/>
          <w:pgMar w:top="1433" w:right="1275" w:bottom="1466" w:left="1400" w:header="0" w:footer="1339" w:gutter="0"/>
          <w:cols w:space="720" w:num="1"/>
        </w:sectPr>
      </w:pPr>
    </w:p>
    <w:p w14:paraId="597023C8">
      <w:pPr>
        <w:pStyle w:val="2"/>
        <w:spacing w:before="63" w:line="222" w:lineRule="auto"/>
        <w:ind w:left="609"/>
      </w:pPr>
      <w:r>
        <w:rPr>
          <w:rFonts w:hint="eastAsia" w:ascii="宋体" w:hAnsi="宋体" w:eastAsia="宋体" w:cs="宋体"/>
          <w:spacing w:val="11"/>
          <w:lang w:eastAsia="zh-CN"/>
        </w:rPr>
        <w:t>1.</w:t>
      </w:r>
      <w:r>
        <w:rPr>
          <w:spacing w:val="11"/>
        </w:rPr>
        <w:t>工资福利支出81.87万元，主要用于：五险一金缴费支出。</w:t>
      </w:r>
    </w:p>
    <w:p w14:paraId="4FFDE311">
      <w:pPr>
        <w:pStyle w:val="2"/>
        <w:spacing w:before="227" w:line="222" w:lineRule="auto"/>
        <w:ind w:left="609"/>
      </w:pPr>
      <w:r>
        <w:rPr>
          <w:rFonts w:hint="eastAsia" w:ascii="宋体" w:hAnsi="宋体" w:eastAsia="宋体" w:cs="宋体"/>
          <w:spacing w:val="15"/>
          <w:lang w:eastAsia="zh-CN"/>
        </w:rPr>
        <w:t>2.</w:t>
      </w:r>
      <w:r>
        <w:rPr>
          <w:spacing w:val="15"/>
        </w:rPr>
        <w:t>商品和服务支出13万元，主要用于：办公费、水电费、取暖</w:t>
      </w:r>
    </w:p>
    <w:p w14:paraId="54BEC412">
      <w:pPr>
        <w:pStyle w:val="2"/>
        <w:spacing w:before="287" w:line="223" w:lineRule="auto"/>
      </w:pPr>
      <w:r>
        <w:rPr>
          <w:spacing w:val="7"/>
        </w:rPr>
        <w:t>费、劳务费、委托业务费、工会经费、食堂支出等。</w:t>
      </w:r>
    </w:p>
    <w:p w14:paraId="648C0534">
      <w:pPr>
        <w:pStyle w:val="2"/>
        <w:spacing w:before="212" w:line="222" w:lineRule="auto"/>
        <w:ind w:left="609"/>
      </w:pPr>
      <w:r>
        <w:rPr>
          <w:rFonts w:hint="eastAsia" w:ascii="宋体" w:hAnsi="宋体" w:eastAsia="宋体" w:cs="宋体"/>
          <w:spacing w:val="12"/>
          <w:lang w:eastAsia="zh-CN"/>
        </w:rPr>
        <w:t>3.</w:t>
      </w:r>
      <w:r>
        <w:rPr>
          <w:spacing w:val="12"/>
        </w:rPr>
        <w:t>对个人和家庭的补助194万元，主要用于：工</w:t>
      </w:r>
      <w:r>
        <w:rPr>
          <w:spacing w:val="11"/>
        </w:rPr>
        <w:t>资、津贴补贴。</w:t>
      </w:r>
    </w:p>
    <w:p w14:paraId="560E555F">
      <w:pPr>
        <w:spacing w:before="294" w:line="221" w:lineRule="auto"/>
        <w:ind w:left="61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4"/>
          <w:sz w:val="31"/>
          <w:szCs w:val="31"/>
        </w:rPr>
        <w:t>五、“三公”经费预算情况说明</w:t>
      </w:r>
    </w:p>
    <w:p w14:paraId="621C1C7F">
      <w:pPr>
        <w:pStyle w:val="2"/>
        <w:spacing w:before="214" w:line="373" w:lineRule="auto"/>
        <w:ind w:right="255" w:firstLine="609"/>
      </w:pPr>
      <w:r>
        <w:rPr>
          <w:spacing w:val="10"/>
        </w:rPr>
        <w:t>2025年“三公”经费财政拨款预算为0万元，包括因公出国(境)</w:t>
      </w:r>
      <w:r>
        <w:rPr>
          <w:spacing w:val="6"/>
        </w:rPr>
        <w:t xml:space="preserve">  </w:t>
      </w:r>
      <w:r>
        <w:rPr>
          <w:spacing w:val="10"/>
        </w:rPr>
        <w:t>费、公务接待费、公务用车购置及运行费，与2024年预算减少(增</w:t>
      </w:r>
      <w:r>
        <w:rPr>
          <w:spacing w:val="9"/>
        </w:rPr>
        <w:t>加)</w:t>
      </w:r>
      <w:r>
        <w:t xml:space="preserve"> </w:t>
      </w:r>
      <w:r>
        <w:rPr>
          <w:spacing w:val="36"/>
        </w:rPr>
        <w:t>0万元，下降(增长)0%。</w:t>
      </w:r>
    </w:p>
    <w:p w14:paraId="35E79DCE">
      <w:pPr>
        <w:pStyle w:val="2"/>
        <w:spacing w:before="1" w:line="221" w:lineRule="auto"/>
        <w:ind w:left="2869"/>
      </w:pPr>
      <w:r>
        <w:rPr>
          <w:spacing w:val="5"/>
        </w:rPr>
        <w:t>财政拨款预算“三公”经费支出表</w:t>
      </w:r>
    </w:p>
    <w:p w14:paraId="1AFE8691">
      <w:pPr>
        <w:pStyle w:val="2"/>
        <w:spacing w:before="216" w:line="221" w:lineRule="auto"/>
        <w:ind w:left="8159"/>
      </w:pPr>
      <w:r>
        <w:rPr>
          <w:spacing w:val="1"/>
        </w:rPr>
        <w:t>单位：万元</w:t>
      </w:r>
    </w:p>
    <w:p w14:paraId="753A1F36">
      <w:pPr>
        <w:spacing w:line="127" w:lineRule="exact"/>
      </w:pPr>
    </w:p>
    <w:tbl>
      <w:tblPr>
        <w:tblStyle w:val="5"/>
        <w:tblW w:w="9819" w:type="dxa"/>
        <w:tblInd w:w="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0"/>
        <w:gridCol w:w="2627"/>
        <w:gridCol w:w="2622"/>
      </w:tblGrid>
      <w:tr w14:paraId="2C044D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4570" w:type="dxa"/>
            <w:vMerge w:val="restart"/>
            <w:tcBorders>
              <w:bottom w:val="nil"/>
            </w:tcBorders>
            <w:vAlign w:val="top"/>
          </w:tcPr>
          <w:p w14:paraId="51F6AB70">
            <w:pPr>
              <w:spacing w:line="369" w:lineRule="auto"/>
              <w:rPr>
                <w:rFonts w:ascii="Arial"/>
                <w:sz w:val="21"/>
              </w:rPr>
            </w:pPr>
          </w:p>
          <w:p w14:paraId="5FF93A7B">
            <w:pPr>
              <w:spacing w:before="108" w:line="220" w:lineRule="auto"/>
              <w:ind w:left="1974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ascii="宋体" w:hAnsi="宋体" w:eastAsia="宋体" w:cs="宋体"/>
                <w:spacing w:val="-9"/>
                <w:sz w:val="33"/>
                <w:szCs w:val="33"/>
              </w:rPr>
              <w:t>项 目</w:t>
            </w:r>
          </w:p>
        </w:tc>
        <w:tc>
          <w:tcPr>
            <w:tcW w:w="5249" w:type="dxa"/>
            <w:gridSpan w:val="2"/>
            <w:vAlign w:val="top"/>
          </w:tcPr>
          <w:p w14:paraId="30535675">
            <w:pPr>
              <w:spacing w:before="158" w:line="219" w:lineRule="auto"/>
              <w:ind w:left="2314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ascii="宋体" w:hAnsi="宋体" w:eastAsia="宋体" w:cs="宋体"/>
                <w:spacing w:val="6"/>
                <w:sz w:val="33"/>
                <w:szCs w:val="33"/>
              </w:rPr>
              <w:t>金额</w:t>
            </w:r>
          </w:p>
        </w:tc>
      </w:tr>
      <w:tr w14:paraId="18D088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4570" w:type="dxa"/>
            <w:vMerge w:val="continue"/>
            <w:tcBorders>
              <w:top w:val="nil"/>
            </w:tcBorders>
            <w:vAlign w:val="top"/>
          </w:tcPr>
          <w:p w14:paraId="51A7D660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6BA4D0FD">
            <w:pPr>
              <w:spacing w:before="155" w:line="219" w:lineRule="auto"/>
              <w:ind w:left="775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ascii="宋体" w:hAnsi="宋体" w:eastAsia="宋体" w:cs="宋体"/>
                <w:spacing w:val="2"/>
                <w:sz w:val="33"/>
                <w:szCs w:val="33"/>
              </w:rPr>
              <w:t>2024年</w:t>
            </w:r>
          </w:p>
        </w:tc>
        <w:tc>
          <w:tcPr>
            <w:tcW w:w="2622" w:type="dxa"/>
            <w:vAlign w:val="top"/>
          </w:tcPr>
          <w:p w14:paraId="26D0F6F2">
            <w:pPr>
              <w:spacing w:before="155" w:line="219" w:lineRule="auto"/>
              <w:ind w:left="778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ascii="宋体" w:hAnsi="宋体" w:eastAsia="宋体" w:cs="宋体"/>
                <w:spacing w:val="2"/>
                <w:sz w:val="33"/>
                <w:szCs w:val="33"/>
              </w:rPr>
              <w:t>2025年</w:t>
            </w:r>
          </w:p>
        </w:tc>
      </w:tr>
      <w:tr w14:paraId="0069A1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570" w:type="dxa"/>
            <w:vAlign w:val="top"/>
          </w:tcPr>
          <w:p w14:paraId="4E818B19">
            <w:pPr>
              <w:spacing w:before="158" w:line="221" w:lineRule="auto"/>
              <w:ind w:left="1974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ascii="宋体" w:hAnsi="宋体" w:eastAsia="宋体" w:cs="宋体"/>
                <w:spacing w:val="7"/>
                <w:sz w:val="33"/>
                <w:szCs w:val="33"/>
              </w:rPr>
              <w:t>合计</w:t>
            </w:r>
          </w:p>
        </w:tc>
        <w:tc>
          <w:tcPr>
            <w:tcW w:w="2627" w:type="dxa"/>
            <w:vAlign w:val="top"/>
          </w:tcPr>
          <w:p w14:paraId="72328C38">
            <w:pPr>
              <w:spacing w:before="188"/>
              <w:ind w:left="74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ascii="宋体" w:hAnsi="宋体" w:eastAsia="宋体" w:cs="宋体"/>
                <w:sz w:val="33"/>
                <w:szCs w:val="33"/>
              </w:rPr>
              <w:t>0</w:t>
            </w:r>
          </w:p>
        </w:tc>
        <w:tc>
          <w:tcPr>
            <w:tcW w:w="2622" w:type="dxa"/>
            <w:vAlign w:val="top"/>
          </w:tcPr>
          <w:p w14:paraId="58E8C666">
            <w:pPr>
              <w:spacing w:before="188"/>
              <w:ind w:left="77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ascii="宋体" w:hAnsi="宋体" w:eastAsia="宋体" w:cs="宋体"/>
                <w:sz w:val="33"/>
                <w:szCs w:val="33"/>
              </w:rPr>
              <w:t>0</w:t>
            </w:r>
          </w:p>
        </w:tc>
      </w:tr>
      <w:tr w14:paraId="731E74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4570" w:type="dxa"/>
            <w:vAlign w:val="top"/>
          </w:tcPr>
          <w:p w14:paraId="494F1C84">
            <w:pPr>
              <w:spacing w:before="158" w:line="220" w:lineRule="auto"/>
              <w:ind w:left="104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ascii="宋体" w:hAnsi="宋体" w:eastAsia="宋体" w:cs="宋体"/>
                <w:spacing w:val="2"/>
                <w:sz w:val="33"/>
                <w:szCs w:val="33"/>
              </w:rPr>
              <w:t>1.因公出国(境)费</w:t>
            </w:r>
          </w:p>
        </w:tc>
        <w:tc>
          <w:tcPr>
            <w:tcW w:w="2627" w:type="dxa"/>
            <w:vAlign w:val="top"/>
          </w:tcPr>
          <w:p w14:paraId="4B352977">
            <w:pPr>
              <w:rPr>
                <w:rFonts w:ascii="Arial"/>
                <w:sz w:val="21"/>
              </w:rPr>
            </w:pPr>
          </w:p>
        </w:tc>
        <w:tc>
          <w:tcPr>
            <w:tcW w:w="2622" w:type="dxa"/>
            <w:vAlign w:val="top"/>
          </w:tcPr>
          <w:p w14:paraId="4D9366E4">
            <w:pPr>
              <w:rPr>
                <w:rFonts w:ascii="Arial"/>
                <w:sz w:val="21"/>
              </w:rPr>
            </w:pPr>
          </w:p>
        </w:tc>
      </w:tr>
      <w:tr w14:paraId="32FCFF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570" w:type="dxa"/>
            <w:vAlign w:val="top"/>
          </w:tcPr>
          <w:p w14:paraId="3B2D0A3C">
            <w:pPr>
              <w:spacing w:before="158" w:line="219" w:lineRule="auto"/>
              <w:ind w:left="104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ascii="宋体" w:hAnsi="宋体" w:eastAsia="宋体" w:cs="宋体"/>
                <w:spacing w:val="2"/>
                <w:sz w:val="33"/>
                <w:szCs w:val="33"/>
              </w:rPr>
              <w:t>2.公务接待费</w:t>
            </w:r>
          </w:p>
        </w:tc>
        <w:tc>
          <w:tcPr>
            <w:tcW w:w="2627" w:type="dxa"/>
            <w:vAlign w:val="top"/>
          </w:tcPr>
          <w:p w14:paraId="0B58506E">
            <w:pPr>
              <w:rPr>
                <w:rFonts w:ascii="Arial"/>
                <w:sz w:val="21"/>
              </w:rPr>
            </w:pPr>
          </w:p>
        </w:tc>
        <w:tc>
          <w:tcPr>
            <w:tcW w:w="2622" w:type="dxa"/>
            <w:vAlign w:val="top"/>
          </w:tcPr>
          <w:p w14:paraId="6A171716">
            <w:pPr>
              <w:rPr>
                <w:rFonts w:ascii="Arial"/>
                <w:sz w:val="21"/>
              </w:rPr>
            </w:pPr>
          </w:p>
        </w:tc>
      </w:tr>
      <w:tr w14:paraId="7E0C31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570" w:type="dxa"/>
            <w:vAlign w:val="top"/>
          </w:tcPr>
          <w:p w14:paraId="6D10FA81">
            <w:pPr>
              <w:spacing w:before="160" w:line="219" w:lineRule="auto"/>
              <w:ind w:left="104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ascii="宋体" w:hAnsi="宋体" w:eastAsia="宋体" w:cs="宋体"/>
                <w:spacing w:val="1"/>
                <w:sz w:val="33"/>
                <w:szCs w:val="33"/>
              </w:rPr>
              <w:t>3.公务用车购置及运行费</w:t>
            </w:r>
          </w:p>
        </w:tc>
        <w:tc>
          <w:tcPr>
            <w:tcW w:w="2627" w:type="dxa"/>
            <w:vAlign w:val="top"/>
          </w:tcPr>
          <w:p w14:paraId="5FC71B3D">
            <w:pPr>
              <w:rPr>
                <w:rFonts w:ascii="Arial"/>
                <w:sz w:val="21"/>
              </w:rPr>
            </w:pPr>
          </w:p>
        </w:tc>
        <w:tc>
          <w:tcPr>
            <w:tcW w:w="2622" w:type="dxa"/>
            <w:vAlign w:val="top"/>
          </w:tcPr>
          <w:p w14:paraId="7FB3DBD6">
            <w:pPr>
              <w:rPr>
                <w:rFonts w:ascii="Arial"/>
                <w:sz w:val="21"/>
              </w:rPr>
            </w:pPr>
          </w:p>
        </w:tc>
      </w:tr>
      <w:tr w14:paraId="05068F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570" w:type="dxa"/>
            <w:vAlign w:val="top"/>
          </w:tcPr>
          <w:p w14:paraId="333B264C">
            <w:pPr>
              <w:spacing w:before="161" w:line="219" w:lineRule="auto"/>
              <w:ind w:left="104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ascii="宋体" w:hAnsi="宋体" w:eastAsia="宋体" w:cs="宋体"/>
                <w:spacing w:val="2"/>
                <w:sz w:val="33"/>
                <w:szCs w:val="33"/>
              </w:rPr>
              <w:t>其中：公务用车购置费</w:t>
            </w:r>
          </w:p>
        </w:tc>
        <w:tc>
          <w:tcPr>
            <w:tcW w:w="2627" w:type="dxa"/>
            <w:vAlign w:val="top"/>
          </w:tcPr>
          <w:p w14:paraId="037596DD">
            <w:pPr>
              <w:rPr>
                <w:rFonts w:ascii="Arial"/>
                <w:sz w:val="21"/>
              </w:rPr>
            </w:pPr>
          </w:p>
        </w:tc>
        <w:tc>
          <w:tcPr>
            <w:tcW w:w="2622" w:type="dxa"/>
            <w:vAlign w:val="top"/>
          </w:tcPr>
          <w:p w14:paraId="4C9B5C8A">
            <w:pPr>
              <w:rPr>
                <w:rFonts w:ascii="Arial"/>
                <w:sz w:val="21"/>
              </w:rPr>
            </w:pPr>
          </w:p>
        </w:tc>
      </w:tr>
      <w:tr w14:paraId="66F7D1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4570" w:type="dxa"/>
            <w:vAlign w:val="top"/>
          </w:tcPr>
          <w:p w14:paraId="6919FA85">
            <w:pPr>
              <w:spacing w:before="163" w:line="219" w:lineRule="auto"/>
              <w:ind w:left="1074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ascii="宋体" w:hAnsi="宋体" w:eastAsia="宋体" w:cs="宋体"/>
                <w:spacing w:val="2"/>
                <w:sz w:val="33"/>
                <w:szCs w:val="33"/>
              </w:rPr>
              <w:t>公务用车运行费</w:t>
            </w:r>
          </w:p>
        </w:tc>
        <w:tc>
          <w:tcPr>
            <w:tcW w:w="2627" w:type="dxa"/>
            <w:vAlign w:val="top"/>
          </w:tcPr>
          <w:p w14:paraId="16D2AD72">
            <w:pPr>
              <w:rPr>
                <w:rFonts w:ascii="Arial"/>
                <w:sz w:val="21"/>
              </w:rPr>
            </w:pPr>
          </w:p>
        </w:tc>
        <w:tc>
          <w:tcPr>
            <w:tcW w:w="2622" w:type="dxa"/>
            <w:vAlign w:val="top"/>
          </w:tcPr>
          <w:p w14:paraId="721766BC">
            <w:pPr>
              <w:rPr>
                <w:rFonts w:ascii="Arial"/>
                <w:sz w:val="21"/>
              </w:rPr>
            </w:pPr>
          </w:p>
        </w:tc>
      </w:tr>
    </w:tbl>
    <w:p w14:paraId="1A0B4927">
      <w:pPr>
        <w:spacing w:line="353" w:lineRule="auto"/>
        <w:rPr>
          <w:rFonts w:ascii="Arial"/>
          <w:sz w:val="21"/>
        </w:rPr>
      </w:pPr>
    </w:p>
    <w:p w14:paraId="0E06EF90">
      <w:pPr>
        <w:spacing w:line="354" w:lineRule="auto"/>
        <w:rPr>
          <w:rFonts w:ascii="Arial"/>
          <w:sz w:val="21"/>
        </w:rPr>
      </w:pPr>
    </w:p>
    <w:p w14:paraId="4D25820B">
      <w:pPr>
        <w:spacing w:before="101" w:line="304" w:lineRule="auto"/>
        <w:ind w:left="874" w:right="418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3"/>
          <w:sz w:val="31"/>
          <w:szCs w:val="31"/>
        </w:rPr>
        <w:t>六、政府性基金预算支出预算情况</w:t>
      </w:r>
      <w:r>
        <w:rPr>
          <w:rFonts w:ascii="黑体" w:hAnsi="黑体" w:eastAsia="黑体" w:cs="黑体"/>
          <w:spacing w:val="8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7"/>
          <w:sz w:val="31"/>
          <w:szCs w:val="31"/>
        </w:rPr>
        <w:t>2025年本单位无政府性基金预算。</w:t>
      </w:r>
    </w:p>
    <w:p w14:paraId="566EB864">
      <w:pPr>
        <w:spacing w:before="278" w:line="222" w:lineRule="auto"/>
        <w:ind w:left="87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4"/>
          <w:sz w:val="31"/>
          <w:szCs w:val="31"/>
        </w:rPr>
        <w:t>七、国有资本经营预算支出预算情况</w:t>
      </w:r>
    </w:p>
    <w:p w14:paraId="32F9A8FD">
      <w:pPr>
        <w:spacing w:line="222" w:lineRule="auto"/>
        <w:rPr>
          <w:rFonts w:ascii="黑体" w:hAnsi="黑体" w:eastAsia="黑体" w:cs="黑体"/>
          <w:sz w:val="31"/>
          <w:szCs w:val="31"/>
        </w:rPr>
        <w:sectPr>
          <w:footerReference r:id="rId9" w:type="default"/>
          <w:pgSz w:w="11900" w:h="16840"/>
          <w:pgMar w:top="1256" w:right="944" w:bottom="1332" w:left="1070" w:header="0" w:footer="1199" w:gutter="0"/>
          <w:cols w:space="720" w:num="1"/>
        </w:sectPr>
      </w:pPr>
    </w:p>
    <w:p w14:paraId="721EEDFE">
      <w:pPr>
        <w:pStyle w:val="2"/>
        <w:spacing w:before="65" w:line="221" w:lineRule="auto"/>
        <w:ind w:left="619"/>
      </w:pPr>
      <w:r>
        <w:rPr>
          <w:spacing w:val="10"/>
        </w:rPr>
        <w:t>2025年度本单位无国有资本经营预算。</w:t>
      </w:r>
    </w:p>
    <w:p w14:paraId="4CD131BC">
      <w:pPr>
        <w:spacing w:before="236" w:line="221" w:lineRule="auto"/>
        <w:ind w:left="62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5"/>
          <w:sz w:val="31"/>
          <w:szCs w:val="31"/>
        </w:rPr>
        <w:t>八、其他重要事项的情况说明</w:t>
      </w:r>
    </w:p>
    <w:p w14:paraId="22707BBB">
      <w:pPr>
        <w:spacing w:before="259" w:line="222" w:lineRule="auto"/>
        <w:ind w:left="78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b/>
          <w:bCs/>
          <w:spacing w:val="16"/>
          <w:sz w:val="31"/>
          <w:szCs w:val="31"/>
          <w:lang w:eastAsia="zh-CN"/>
        </w:rPr>
        <w:t>（一）</w:t>
      </w:r>
      <w:r>
        <w:rPr>
          <w:rFonts w:ascii="黑体" w:hAnsi="黑体" w:eastAsia="黑体" w:cs="黑体"/>
          <w:b/>
          <w:bCs/>
          <w:spacing w:val="16"/>
          <w:sz w:val="31"/>
          <w:szCs w:val="31"/>
        </w:rPr>
        <w:t>单位管理专项资金情况</w:t>
      </w:r>
    </w:p>
    <w:p w14:paraId="033C9073">
      <w:pPr>
        <w:pStyle w:val="2"/>
        <w:spacing w:before="258" w:line="221" w:lineRule="auto"/>
        <w:ind w:left="779"/>
      </w:pPr>
      <w:r>
        <w:rPr>
          <w:spacing w:val="13"/>
        </w:rPr>
        <w:t>2025年本单位无管理专项资金预算。</w:t>
      </w:r>
    </w:p>
    <w:p w14:paraId="02FB38DA">
      <w:pPr>
        <w:pStyle w:val="2"/>
        <w:spacing w:before="259" w:line="221" w:lineRule="auto"/>
        <w:ind w:left="784"/>
      </w:pPr>
      <w:r>
        <w:rPr>
          <w:b/>
          <w:bCs/>
          <w:spacing w:val="-3"/>
        </w:rPr>
        <w:t>(</w:t>
      </w:r>
      <w:r>
        <w:rPr>
          <w:spacing w:val="-39"/>
        </w:rPr>
        <w:t xml:space="preserve"> </w:t>
      </w:r>
      <w:r>
        <w:rPr>
          <w:b/>
          <w:bCs/>
          <w:spacing w:val="-3"/>
        </w:rPr>
        <w:t>二</w:t>
      </w:r>
      <w:r>
        <w:rPr>
          <w:spacing w:val="-65"/>
        </w:rPr>
        <w:t xml:space="preserve"> </w:t>
      </w:r>
      <w:r>
        <w:rPr>
          <w:b/>
          <w:bCs/>
          <w:spacing w:val="-3"/>
        </w:rPr>
        <w:t>)</w:t>
      </w:r>
      <w:r>
        <w:rPr>
          <w:spacing w:val="-89"/>
        </w:rPr>
        <w:t xml:space="preserve"> </w:t>
      </w:r>
      <w:r>
        <w:rPr>
          <w:spacing w:val="-3"/>
        </w:rPr>
        <w:t>机关运行经费预算</w:t>
      </w:r>
    </w:p>
    <w:p w14:paraId="433BE651">
      <w:pPr>
        <w:pStyle w:val="2"/>
        <w:spacing w:before="259" w:line="369" w:lineRule="auto"/>
        <w:ind w:right="92" w:firstLine="779"/>
        <w:jc w:val="both"/>
      </w:pPr>
      <w:r>
        <w:rPr>
          <w:spacing w:val="15"/>
        </w:rPr>
        <w:t>机关运行经费是指行政机关及参公单位使用</w:t>
      </w:r>
      <w:r>
        <w:rPr>
          <w:rFonts w:hint="eastAsia"/>
          <w:spacing w:val="15"/>
          <w:lang w:eastAsia="zh-CN"/>
        </w:rPr>
        <w:t>一般公共预算财政拨款</w:t>
      </w:r>
      <w:r>
        <w:rPr>
          <w:spacing w:val="8"/>
        </w:rPr>
        <w:t>安排的基本支出中的公用经费支出。2025年度机关运行经费财政</w:t>
      </w:r>
      <w:r>
        <w:rPr>
          <w:spacing w:val="15"/>
        </w:rPr>
        <w:t xml:space="preserve"> </w:t>
      </w:r>
      <w:r>
        <w:rPr>
          <w:spacing w:val="22"/>
        </w:rPr>
        <w:t>拨款预算13万元，比2024年预算减少4</w:t>
      </w:r>
      <w:r>
        <w:rPr>
          <w:spacing w:val="21"/>
        </w:rPr>
        <w:t>万元，减少23%</w:t>
      </w:r>
      <w:r>
        <w:rPr>
          <w:rFonts w:hint="eastAsia"/>
          <w:spacing w:val="21"/>
          <w:lang w:eastAsia="zh-CN"/>
        </w:rPr>
        <w:t>，</w:t>
      </w:r>
      <w:r>
        <w:rPr>
          <w:spacing w:val="21"/>
        </w:rPr>
        <w:t>主要原因是</w:t>
      </w:r>
      <w:r>
        <w:t xml:space="preserve"> </w:t>
      </w:r>
      <w:r>
        <w:rPr>
          <w:spacing w:val="6"/>
        </w:rPr>
        <w:t>有人员退休，运行经费减少。</w:t>
      </w:r>
    </w:p>
    <w:p w14:paraId="0EA0AFE6">
      <w:pPr>
        <w:spacing w:line="227" w:lineRule="auto"/>
        <w:ind w:left="78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b/>
          <w:bCs/>
          <w:spacing w:val="22"/>
          <w:sz w:val="31"/>
          <w:szCs w:val="31"/>
          <w:lang w:eastAsia="zh-CN"/>
        </w:rPr>
        <w:t>（三）</w:t>
      </w:r>
      <w:r>
        <w:rPr>
          <w:rFonts w:ascii="楷体" w:hAnsi="楷体" w:eastAsia="楷体" w:cs="楷体"/>
          <w:b/>
          <w:bCs/>
          <w:spacing w:val="22"/>
          <w:sz w:val="31"/>
          <w:szCs w:val="31"/>
        </w:rPr>
        <w:t>政府采购情况</w:t>
      </w:r>
    </w:p>
    <w:p w14:paraId="3B0EB7CD">
      <w:pPr>
        <w:pStyle w:val="2"/>
        <w:spacing w:before="271" w:line="221" w:lineRule="auto"/>
        <w:ind w:left="619"/>
      </w:pPr>
      <w:r>
        <w:rPr>
          <w:spacing w:val="11"/>
        </w:rPr>
        <w:t>2025年度本单位无政府采购预算。</w:t>
      </w:r>
    </w:p>
    <w:p w14:paraId="4D13A2FB">
      <w:pPr>
        <w:spacing w:before="227" w:line="227" w:lineRule="auto"/>
        <w:ind w:left="78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b/>
          <w:bCs/>
          <w:spacing w:val="22"/>
          <w:sz w:val="31"/>
          <w:szCs w:val="31"/>
          <w:lang w:eastAsia="zh-CN"/>
        </w:rPr>
        <w:t>（四）</w:t>
      </w:r>
      <w:r>
        <w:rPr>
          <w:rFonts w:ascii="楷体" w:hAnsi="楷体" w:eastAsia="楷体" w:cs="楷体"/>
          <w:b/>
          <w:bCs/>
          <w:spacing w:val="22"/>
          <w:sz w:val="31"/>
          <w:szCs w:val="31"/>
        </w:rPr>
        <w:t>预算绩效情况</w:t>
      </w:r>
    </w:p>
    <w:p w14:paraId="2D1BCAF5">
      <w:pPr>
        <w:pStyle w:val="2"/>
        <w:spacing w:before="231" w:line="379" w:lineRule="auto"/>
        <w:ind w:right="88" w:firstLine="619"/>
      </w:pPr>
      <w:r>
        <w:rPr>
          <w:spacing w:val="10"/>
        </w:rPr>
        <w:t>按照</w:t>
      </w:r>
      <w:r>
        <w:rPr>
          <w:rFonts w:hint="eastAsia"/>
          <w:spacing w:val="10"/>
          <w:lang w:eastAsia="zh-CN"/>
        </w:rPr>
        <w:t>预算绩效管理</w:t>
      </w:r>
      <w:r>
        <w:rPr>
          <w:spacing w:val="10"/>
        </w:rPr>
        <w:t>一体化原则和管理要求，本部门</w:t>
      </w:r>
      <w:r>
        <w:rPr>
          <w:spacing w:val="9"/>
        </w:rPr>
        <w:t>共编制项目</w:t>
      </w:r>
      <w:r>
        <w:t xml:space="preserve"> </w:t>
      </w:r>
      <w:r>
        <w:rPr>
          <w:spacing w:val="26"/>
        </w:rPr>
        <w:t>绩效目标0个，预算金额0万元。</w:t>
      </w:r>
    </w:p>
    <w:p w14:paraId="46840F0C">
      <w:pPr>
        <w:spacing w:before="1" w:line="222" w:lineRule="auto"/>
        <w:ind w:left="78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b/>
          <w:bCs/>
          <w:spacing w:val="17"/>
          <w:sz w:val="31"/>
          <w:szCs w:val="31"/>
          <w:lang w:eastAsia="zh-CN"/>
        </w:rPr>
        <w:t>（五）</w:t>
      </w:r>
      <w:r>
        <w:rPr>
          <w:rFonts w:ascii="楷体" w:hAnsi="楷体" w:eastAsia="楷体" w:cs="楷体"/>
          <w:b/>
          <w:bCs/>
          <w:spacing w:val="17"/>
          <w:sz w:val="31"/>
          <w:szCs w:val="31"/>
        </w:rPr>
        <w:t>国有资产占有使用情况</w:t>
      </w:r>
    </w:p>
    <w:p w14:paraId="511FC307">
      <w:pPr>
        <w:pStyle w:val="2"/>
        <w:spacing w:before="238" w:line="376" w:lineRule="auto"/>
        <w:ind w:firstLine="619"/>
        <w:jc w:val="both"/>
      </w:pPr>
      <w:r>
        <w:rPr>
          <w:spacing w:val="24"/>
        </w:rPr>
        <w:t>截至2024年12月31日，本单位共有车辆0辆，其中，副部(省)</w:t>
      </w:r>
      <w:r>
        <w:rPr>
          <w:spacing w:val="15"/>
        </w:rPr>
        <w:t xml:space="preserve"> </w:t>
      </w:r>
      <w:r>
        <w:rPr>
          <w:spacing w:val="17"/>
        </w:rPr>
        <w:t>级及以上领导用车0辆，主要领导干部用车0辆，机</w:t>
      </w:r>
      <w:r>
        <w:rPr>
          <w:spacing w:val="16"/>
        </w:rPr>
        <w:t>要通信用车0辆，</w:t>
      </w:r>
      <w:r>
        <w:t xml:space="preserve"> </w:t>
      </w:r>
      <w:r>
        <w:rPr>
          <w:spacing w:val="23"/>
        </w:rPr>
        <w:t>应急保障用车0辆，执法执勤用车0辆，特种专</w:t>
      </w:r>
      <w:r>
        <w:rPr>
          <w:spacing w:val="22"/>
        </w:rPr>
        <w:t>业技术用车0辆，离</w:t>
      </w:r>
      <w:r>
        <w:t xml:space="preserve">  </w:t>
      </w:r>
      <w:r>
        <w:rPr>
          <w:spacing w:val="28"/>
        </w:rPr>
        <w:t>退休干部用车0辆，其他用车0辆。单位价值50万元(含)以上通用</w:t>
      </w:r>
      <w:r>
        <w:rPr>
          <w:spacing w:val="16"/>
        </w:rPr>
        <w:t xml:space="preserve"> </w:t>
      </w:r>
      <w:r>
        <w:rPr>
          <w:spacing w:val="49"/>
        </w:rPr>
        <w:t>设备0台(套</w:t>
      </w:r>
      <w:r>
        <w:rPr>
          <w:rFonts w:hint="eastAsia"/>
          <w:spacing w:val="49"/>
          <w:lang w:eastAsia="zh-CN"/>
        </w:rPr>
        <w:t>），</w:t>
      </w:r>
      <w:r>
        <w:rPr>
          <w:spacing w:val="49"/>
        </w:rPr>
        <w:t>单位价值100万元以上专用设备0台(套)。</w:t>
      </w:r>
    </w:p>
    <w:p w14:paraId="698CE156">
      <w:pPr>
        <w:spacing w:line="376" w:lineRule="auto"/>
        <w:sectPr>
          <w:footerReference r:id="rId10" w:type="default"/>
          <w:pgSz w:w="12240" w:h="17080"/>
          <w:pgMar w:top="1451" w:right="1064" w:bottom="1440" w:left="1510" w:header="0" w:footer="1323" w:gutter="0"/>
          <w:cols w:space="720" w:num="1"/>
        </w:sectPr>
      </w:pPr>
    </w:p>
    <w:p w14:paraId="2362CA5A">
      <w:pPr>
        <w:spacing w:before="89" w:line="271" w:lineRule="auto"/>
        <w:ind w:left="4010" w:right="4012" w:firstLine="19"/>
        <w:rPr>
          <w:rFonts w:ascii="楷体" w:hAnsi="楷体" w:eastAsia="楷体" w:cs="楷体"/>
          <w:sz w:val="42"/>
          <w:szCs w:val="42"/>
        </w:rPr>
      </w:pPr>
      <w:r>
        <w:rPr>
          <w:rFonts w:ascii="楷体" w:hAnsi="楷体" w:eastAsia="楷体" w:cs="楷体"/>
          <w:b/>
          <w:bCs/>
          <w:spacing w:val="-3"/>
          <w:sz w:val="42"/>
          <w:szCs w:val="42"/>
        </w:rPr>
        <w:t>第三部分</w:t>
      </w:r>
      <w:r>
        <w:rPr>
          <w:rFonts w:ascii="楷体" w:hAnsi="楷体" w:eastAsia="楷体" w:cs="楷体"/>
          <w:sz w:val="42"/>
          <w:szCs w:val="42"/>
        </w:rPr>
        <w:t xml:space="preserve"> </w:t>
      </w:r>
      <w:r>
        <w:rPr>
          <w:rFonts w:ascii="楷体" w:hAnsi="楷体" w:eastAsia="楷体" w:cs="楷体"/>
          <w:b/>
          <w:bCs/>
          <w:sz w:val="42"/>
          <w:szCs w:val="42"/>
        </w:rPr>
        <w:t>名词解释</w:t>
      </w:r>
    </w:p>
    <w:p w14:paraId="140D8EF6">
      <w:pPr>
        <w:spacing w:line="291" w:lineRule="auto"/>
        <w:rPr>
          <w:rFonts w:ascii="Arial"/>
          <w:sz w:val="21"/>
        </w:rPr>
      </w:pPr>
    </w:p>
    <w:p w14:paraId="2AB8F438">
      <w:pPr>
        <w:spacing w:line="292" w:lineRule="auto"/>
        <w:rPr>
          <w:rFonts w:ascii="Arial"/>
          <w:sz w:val="21"/>
        </w:rPr>
      </w:pPr>
    </w:p>
    <w:p w14:paraId="21D6F32B">
      <w:pPr>
        <w:pStyle w:val="2"/>
        <w:spacing w:before="101" w:line="222" w:lineRule="auto"/>
        <w:ind w:left="629"/>
      </w:pPr>
      <w:r>
        <w:rPr>
          <w:rFonts w:ascii="宋体" w:hAnsi="宋体" w:eastAsia="宋体" w:cs="宋体"/>
          <w:b/>
          <w:bCs/>
          <w:spacing w:val="2"/>
        </w:rPr>
        <w:t>1.</w:t>
      </w:r>
      <w:r>
        <w:rPr>
          <w:b/>
          <w:bCs/>
          <w:spacing w:val="2"/>
        </w:rPr>
        <w:t>财政拨款收入：</w:t>
      </w:r>
      <w:r>
        <w:rPr>
          <w:spacing w:val="-57"/>
        </w:rPr>
        <w:t xml:space="preserve"> </w:t>
      </w:r>
      <w:r>
        <w:rPr>
          <w:spacing w:val="2"/>
        </w:rPr>
        <w:t>指市财政当年拨付的资金。</w:t>
      </w:r>
    </w:p>
    <w:p w14:paraId="2DEAA031">
      <w:pPr>
        <w:pStyle w:val="2"/>
        <w:spacing w:before="225" w:line="329" w:lineRule="auto"/>
        <w:ind w:left="24" w:right="124" w:firstLine="604"/>
      </w:pPr>
      <w:r>
        <w:rPr>
          <w:rFonts w:ascii="宋体" w:hAnsi="宋体" w:eastAsia="宋体" w:cs="宋体"/>
          <w:b/>
          <w:bCs/>
          <w:spacing w:val="7"/>
        </w:rPr>
        <w:t>2.</w:t>
      </w:r>
      <w:r>
        <w:rPr>
          <w:b/>
          <w:bCs/>
          <w:spacing w:val="7"/>
        </w:rPr>
        <w:t>事业收入：</w:t>
      </w:r>
      <w:r>
        <w:rPr>
          <w:spacing w:val="-86"/>
        </w:rPr>
        <w:t xml:space="preserve"> </w:t>
      </w:r>
      <w:r>
        <w:rPr>
          <w:spacing w:val="7"/>
        </w:rPr>
        <w:t>指事业单位开展专业业务活动及其辅助活动取得的</w:t>
      </w:r>
      <w:r>
        <w:t xml:space="preserve"> </w:t>
      </w:r>
      <w:r>
        <w:rPr>
          <w:spacing w:val="14"/>
        </w:rPr>
        <w:t>收入。(无事业收入的单位保留事业收入的名词解释，但不列举主要</w:t>
      </w:r>
      <w:r>
        <w:rPr>
          <w:spacing w:val="8"/>
        </w:rPr>
        <w:t xml:space="preserve"> </w:t>
      </w:r>
      <w:r>
        <w:rPr>
          <w:spacing w:val="17"/>
        </w:rPr>
        <w:t>内容，以下同)。</w:t>
      </w:r>
    </w:p>
    <w:p w14:paraId="4C71422E">
      <w:pPr>
        <w:pStyle w:val="2"/>
        <w:spacing w:before="243" w:line="302" w:lineRule="auto"/>
        <w:ind w:left="24" w:right="131" w:firstLine="604"/>
      </w:pPr>
      <w:r>
        <w:rPr>
          <w:rFonts w:ascii="宋体" w:hAnsi="宋体" w:eastAsia="宋体" w:cs="宋体"/>
          <w:b/>
          <w:bCs/>
          <w:spacing w:val="9"/>
        </w:rPr>
        <w:t>3.</w:t>
      </w:r>
      <w:r>
        <w:rPr>
          <w:b/>
          <w:bCs/>
          <w:spacing w:val="9"/>
        </w:rPr>
        <w:t>经营收入：</w:t>
      </w:r>
      <w:r>
        <w:rPr>
          <w:spacing w:val="9"/>
        </w:rPr>
        <w:t>指事业单位在专业业务活动及其辅助活动之外开展</w:t>
      </w:r>
      <w:r>
        <w:rPr>
          <w:spacing w:val="3"/>
        </w:rPr>
        <w:t xml:space="preserve"> </w:t>
      </w:r>
      <w:r>
        <w:rPr>
          <w:spacing w:val="5"/>
        </w:rPr>
        <w:t>非独立核算经营活动取得的收入。</w:t>
      </w:r>
    </w:p>
    <w:p w14:paraId="7615E1A4">
      <w:pPr>
        <w:pStyle w:val="2"/>
        <w:spacing w:before="234" w:line="301" w:lineRule="auto"/>
        <w:ind w:firstLine="629"/>
      </w:pPr>
      <w:r>
        <w:rPr>
          <w:rFonts w:ascii="宋体" w:hAnsi="宋体" w:eastAsia="宋体" w:cs="宋体"/>
          <w:b/>
          <w:bCs/>
          <w:spacing w:val="3"/>
        </w:rPr>
        <w:t>4.</w:t>
      </w:r>
      <w:r>
        <w:rPr>
          <w:b/>
          <w:bCs/>
          <w:spacing w:val="3"/>
        </w:rPr>
        <w:t>其他收入：</w:t>
      </w:r>
      <w:r>
        <w:rPr>
          <w:spacing w:val="3"/>
        </w:rPr>
        <w:t>指单位取得的除“财政拨款收入”、“事业</w:t>
      </w:r>
      <w:r>
        <w:rPr>
          <w:spacing w:val="2"/>
        </w:rPr>
        <w:t>收入”、</w:t>
      </w:r>
      <w:r>
        <w:t xml:space="preserve"> </w:t>
      </w:r>
      <w:r>
        <w:rPr>
          <w:spacing w:val="7"/>
        </w:rPr>
        <w:t>“经营收入”等以外的收入。</w:t>
      </w:r>
    </w:p>
    <w:p w14:paraId="0099A568">
      <w:pPr>
        <w:pStyle w:val="2"/>
        <w:spacing w:before="253" w:line="322" w:lineRule="auto"/>
        <w:ind w:left="24" w:right="125" w:firstLine="599"/>
      </w:pPr>
      <w:r>
        <w:rPr>
          <w:rFonts w:ascii="宋体" w:hAnsi="宋体" w:eastAsia="宋体" w:cs="宋体"/>
          <w:spacing w:val="10"/>
        </w:rPr>
        <w:t>5.</w:t>
      </w:r>
      <w:r>
        <w:rPr>
          <w:spacing w:val="10"/>
        </w:rPr>
        <w:t>一般公共预算：是对以税收为主体的财政收入，安排用于</w:t>
      </w:r>
      <w:r>
        <w:rPr>
          <w:rFonts w:hint="eastAsia"/>
          <w:spacing w:val="10"/>
          <w:lang w:eastAsia="zh-CN"/>
        </w:rPr>
        <w:t>保障和改善民生</w:t>
      </w:r>
      <w:r>
        <w:rPr>
          <w:spacing w:val="9"/>
        </w:rPr>
        <w:t>、推动经济社会发展、维护国家安全、维持国家机构正常</w:t>
      </w:r>
      <w:r>
        <w:rPr>
          <w:spacing w:val="8"/>
        </w:rPr>
        <w:t xml:space="preserve"> </w:t>
      </w:r>
      <w:r>
        <w:rPr>
          <w:spacing w:val="4"/>
        </w:rPr>
        <w:t>运转等方面的收支预算。</w:t>
      </w:r>
    </w:p>
    <w:p w14:paraId="01BFA770">
      <w:pPr>
        <w:pStyle w:val="2"/>
        <w:spacing w:before="244" w:line="304" w:lineRule="auto"/>
        <w:ind w:left="24" w:right="159" w:firstLine="604"/>
      </w:pPr>
      <w:r>
        <w:rPr>
          <w:rFonts w:ascii="宋体" w:hAnsi="宋体" w:eastAsia="宋体" w:cs="宋体"/>
          <w:b/>
          <w:bCs/>
          <w:spacing w:val="6"/>
        </w:rPr>
        <w:t>6.</w:t>
      </w:r>
      <w:r>
        <w:rPr>
          <w:b/>
          <w:bCs/>
          <w:spacing w:val="6"/>
        </w:rPr>
        <w:t>基本支出：</w:t>
      </w:r>
      <w:r>
        <w:rPr>
          <w:spacing w:val="-89"/>
        </w:rPr>
        <w:t xml:space="preserve"> </w:t>
      </w:r>
      <w:r>
        <w:rPr>
          <w:spacing w:val="6"/>
        </w:rPr>
        <w:t>指为保障机构正常运转、完成日常工作任务</w:t>
      </w:r>
      <w:r>
        <w:rPr>
          <w:spacing w:val="5"/>
        </w:rPr>
        <w:t>而发生</w:t>
      </w:r>
      <w:r>
        <w:t xml:space="preserve"> </w:t>
      </w:r>
      <w:r>
        <w:rPr>
          <w:spacing w:val="4"/>
        </w:rPr>
        <w:t>的人员支出和公用支出。</w:t>
      </w:r>
    </w:p>
    <w:p w14:paraId="44617B02">
      <w:pPr>
        <w:pStyle w:val="2"/>
        <w:spacing w:before="240" w:line="303" w:lineRule="auto"/>
        <w:ind w:left="24" w:right="162" w:firstLine="604"/>
      </w:pPr>
      <w:r>
        <w:rPr>
          <w:rFonts w:ascii="宋体" w:hAnsi="宋体" w:eastAsia="宋体" w:cs="宋体"/>
          <w:b/>
          <w:bCs/>
          <w:spacing w:val="8"/>
        </w:rPr>
        <w:t>7.</w:t>
      </w:r>
      <w:r>
        <w:rPr>
          <w:b/>
          <w:bCs/>
          <w:spacing w:val="8"/>
        </w:rPr>
        <w:t>项目支出：</w:t>
      </w:r>
      <w:r>
        <w:rPr>
          <w:spacing w:val="8"/>
        </w:rPr>
        <w:t>指在基本支出之外为完成特定行政任务和事业发展</w:t>
      </w:r>
      <w:r>
        <w:rPr>
          <w:spacing w:val="2"/>
        </w:rPr>
        <w:t xml:space="preserve"> </w:t>
      </w:r>
      <w:r>
        <w:rPr>
          <w:spacing w:val="-5"/>
        </w:rPr>
        <w:t>目标所发生的支出。</w:t>
      </w:r>
    </w:p>
    <w:p w14:paraId="2A4CE8AE">
      <w:pPr>
        <w:pStyle w:val="2"/>
        <w:spacing w:before="257" w:line="331" w:lineRule="auto"/>
        <w:ind w:left="24" w:right="129" w:firstLine="599"/>
      </w:pPr>
      <w:r>
        <w:rPr>
          <w:rFonts w:ascii="宋体" w:hAnsi="宋体" w:eastAsia="宋体" w:cs="宋体"/>
          <w:spacing w:val="9"/>
        </w:rPr>
        <w:t>8.</w:t>
      </w:r>
      <w:r>
        <w:rPr>
          <w:spacing w:val="9"/>
        </w:rPr>
        <w:t>机关运行经费：是指行政机关及参公单位的公用经费，包括办</w:t>
      </w:r>
      <w:r>
        <w:rPr>
          <w:spacing w:val="8"/>
        </w:rPr>
        <w:t xml:space="preserve"> </w:t>
      </w:r>
      <w:r>
        <w:rPr>
          <w:spacing w:val="9"/>
        </w:rPr>
        <w:t>公及印刷费、邮电费、差旅费、会议费、福利费、日常维护费、专用</w:t>
      </w:r>
      <w:r>
        <w:rPr>
          <w:spacing w:val="4"/>
        </w:rPr>
        <w:t xml:space="preserve"> </w:t>
      </w:r>
      <w:r>
        <w:rPr>
          <w:spacing w:val="9"/>
        </w:rPr>
        <w:t>材料及一般设备购置费、办公用房水电费、办公用房取暖费、办公用</w:t>
      </w:r>
      <w:r>
        <w:rPr>
          <w:spacing w:val="4"/>
        </w:rPr>
        <w:t xml:space="preserve"> </w:t>
      </w:r>
      <w:r>
        <w:rPr>
          <w:spacing w:val="5"/>
        </w:rPr>
        <w:t>房物业管理费、</w:t>
      </w:r>
      <w:r>
        <w:rPr>
          <w:rFonts w:hint="eastAsia"/>
          <w:spacing w:val="5"/>
          <w:lang w:val="en-US" w:eastAsia="zh-CN"/>
        </w:rPr>
        <w:t>公务</w:t>
      </w:r>
      <w:r>
        <w:rPr>
          <w:spacing w:val="5"/>
        </w:rPr>
        <w:t>用车运行维护费以及其他费用。</w:t>
      </w:r>
    </w:p>
    <w:p w14:paraId="287DDA2E">
      <w:pPr>
        <w:spacing w:line="331" w:lineRule="auto"/>
        <w:sectPr>
          <w:footerReference r:id="rId11" w:type="default"/>
          <w:pgSz w:w="12330" w:h="17140"/>
          <w:pgMar w:top="1356" w:right="1245" w:bottom="1455" w:left="1355" w:header="0" w:footer="1331" w:gutter="0"/>
          <w:cols w:space="720" w:num="1"/>
        </w:sectPr>
      </w:pPr>
    </w:p>
    <w:p w14:paraId="2F52E40C">
      <w:pPr>
        <w:pStyle w:val="2"/>
        <w:spacing w:before="64" w:line="367" w:lineRule="auto"/>
        <w:ind w:right="227" w:firstLine="609"/>
      </w:pPr>
      <w:r>
        <w:rPr>
          <w:rFonts w:ascii="宋体" w:hAnsi="宋体" w:eastAsia="宋体" w:cs="宋体"/>
          <w:spacing w:val="7"/>
        </w:rPr>
        <w:t>9.</w:t>
      </w:r>
      <w:r>
        <w:rPr>
          <w:spacing w:val="7"/>
        </w:rPr>
        <w:t xml:space="preserve">上年结转：指以前年度尚未使用完毕，结转到本年仍按原规定 </w:t>
      </w:r>
      <w:r>
        <w:rPr>
          <w:spacing w:val="6"/>
        </w:rPr>
        <w:t>用途继续使用的资金。</w:t>
      </w:r>
    </w:p>
    <w:p w14:paraId="50CC6BD6">
      <w:pPr>
        <w:pStyle w:val="2"/>
        <w:spacing w:before="2" w:line="348" w:lineRule="auto"/>
        <w:ind w:left="29" w:right="34" w:firstLine="654"/>
      </w:pPr>
      <w:r>
        <w:rPr>
          <w:b/>
          <w:bCs/>
          <w:spacing w:val="10"/>
        </w:rPr>
        <w:t>10.“三公”经费：</w:t>
      </w:r>
      <w:r>
        <w:rPr>
          <w:spacing w:val="10"/>
        </w:rPr>
        <w:t>指用财政拨款安排的因公出国(境)费、公务</w:t>
      </w:r>
      <w:r>
        <w:rPr>
          <w:spacing w:val="8"/>
        </w:rPr>
        <w:t xml:space="preserve">  </w:t>
      </w:r>
      <w:r>
        <w:rPr>
          <w:spacing w:val="17"/>
        </w:rPr>
        <w:t>用车购置及运行费和公务接待费。其中，因公出国(境)费反映</w:t>
      </w:r>
      <w:r>
        <w:rPr>
          <w:spacing w:val="16"/>
        </w:rPr>
        <w:t>单位</w:t>
      </w:r>
      <w:r>
        <w:t xml:space="preserve">  </w:t>
      </w:r>
      <w:r>
        <w:rPr>
          <w:spacing w:val="17"/>
        </w:rPr>
        <w:t>公务出国(境)国际旅费、国外城市间交通费、住宿费、伙食费、公</w:t>
      </w:r>
      <w:r>
        <w:t xml:space="preserve">  </w:t>
      </w:r>
      <w:r>
        <w:rPr>
          <w:spacing w:val="7"/>
        </w:rPr>
        <w:t>杂费、培训费等支出；公务用车购置及运行费</w:t>
      </w:r>
      <w:r>
        <w:rPr>
          <w:spacing w:val="6"/>
        </w:rPr>
        <w:t>反映单位公务用车购置</w:t>
      </w:r>
      <w:r>
        <w:t xml:space="preserve">  </w:t>
      </w:r>
      <w:r>
        <w:rPr>
          <w:spacing w:val="2"/>
        </w:rPr>
        <w:t>费以及按规定保留的公务用车燃料费、维修费、过路</w:t>
      </w:r>
      <w:r>
        <w:rPr>
          <w:spacing w:val="1"/>
        </w:rPr>
        <w:t>过桥费、保险费、</w:t>
      </w:r>
      <w:r>
        <w:t xml:space="preserve"> </w:t>
      </w:r>
      <w:r>
        <w:rPr>
          <w:spacing w:val="6"/>
        </w:rPr>
        <w:t>安全奖励费用等支出；公务接待费反映单位按规定开支的各类公务接</w:t>
      </w:r>
      <w:r>
        <w:rPr>
          <w:spacing w:val="9"/>
        </w:rPr>
        <w:t xml:space="preserve">  </w:t>
      </w:r>
      <w:r>
        <w:rPr>
          <w:spacing w:val="31"/>
        </w:rPr>
        <w:t>待(含外宾接待)支出。</w:t>
      </w:r>
    </w:p>
    <w:p w14:paraId="455F7D51">
      <w:pPr>
        <w:pStyle w:val="2"/>
        <w:spacing w:before="254" w:line="315" w:lineRule="auto"/>
        <w:ind w:left="29" w:right="40" w:firstLine="764"/>
      </w:pPr>
      <w:r>
        <w:rPr>
          <w:rFonts w:ascii="宋体" w:hAnsi="宋体" w:eastAsia="宋体" w:cs="宋体"/>
          <w:b/>
          <w:bCs/>
          <w:spacing w:val="1"/>
        </w:rPr>
        <w:t>11.</w:t>
      </w:r>
      <w:r>
        <w:rPr>
          <w:b/>
          <w:bCs/>
          <w:spacing w:val="1"/>
        </w:rPr>
        <w:t>绩效目标：</w:t>
      </w:r>
      <w:r>
        <w:rPr>
          <w:spacing w:val="1"/>
        </w:rPr>
        <w:t>指财政预算资金在一定期限内计划实现的产出和效</w:t>
      </w:r>
      <w:r>
        <w:rPr>
          <w:spacing w:val="2"/>
        </w:rPr>
        <w:t xml:space="preserve"> </w:t>
      </w:r>
      <w:r>
        <w:rPr>
          <w:spacing w:val="-17"/>
        </w:rPr>
        <w:t>果。</w:t>
      </w:r>
    </w:p>
    <w:p w14:paraId="5E0DE204">
      <w:pPr>
        <w:pStyle w:val="2"/>
        <w:spacing w:before="184" w:line="304" w:lineRule="auto"/>
        <w:ind w:left="29" w:firstLine="809"/>
      </w:pPr>
      <w:r>
        <w:rPr>
          <w:rFonts w:ascii="宋体" w:hAnsi="宋体" w:eastAsia="宋体" w:cs="宋体"/>
          <w:spacing w:val="36"/>
        </w:rPr>
        <w:t>12.</w:t>
      </w:r>
      <w:r>
        <w:rPr>
          <w:spacing w:val="36"/>
        </w:rPr>
        <w:t>一</w:t>
      </w:r>
      <w:r>
        <w:rPr>
          <w:spacing w:val="-87"/>
        </w:rPr>
        <w:t xml:space="preserve"> </w:t>
      </w:r>
      <w:r>
        <w:rPr>
          <w:spacing w:val="36"/>
        </w:rPr>
        <w:t>般公共服务支出(类)财政事务(款</w:t>
      </w:r>
      <w:r>
        <w:rPr>
          <w:spacing w:val="35"/>
        </w:rPr>
        <w:t>)行政运行(项):反</w:t>
      </w:r>
      <w:r>
        <w:t xml:space="preserve"> </w:t>
      </w:r>
      <w:r>
        <w:rPr>
          <w:spacing w:val="17"/>
        </w:rPr>
        <w:t>映行政单位(包括实行公务员管理的事业单位)的基本支出。</w:t>
      </w:r>
    </w:p>
    <w:p w14:paraId="04405404">
      <w:pPr>
        <w:spacing w:line="304" w:lineRule="auto"/>
        <w:sectPr>
          <w:footerReference r:id="rId12" w:type="default"/>
          <w:pgSz w:w="11900" w:h="16840"/>
          <w:pgMar w:top="1240" w:right="1110" w:bottom="1347" w:left="1060" w:header="0" w:footer="1221" w:gutter="0"/>
          <w:cols w:space="720" w:num="1"/>
        </w:sectPr>
      </w:pPr>
    </w:p>
    <w:p w14:paraId="08D9BFDE">
      <w:pPr>
        <w:spacing w:before="88" w:line="224" w:lineRule="auto"/>
        <w:ind w:left="4000"/>
        <w:rPr>
          <w:rFonts w:ascii="楷体" w:hAnsi="楷体" w:eastAsia="楷体" w:cs="楷体"/>
          <w:sz w:val="42"/>
          <w:szCs w:val="42"/>
        </w:rPr>
      </w:pPr>
      <w:r>
        <w:rPr>
          <w:rFonts w:ascii="楷体" w:hAnsi="楷体" w:eastAsia="楷体" w:cs="楷体"/>
          <w:spacing w:val="4"/>
          <w:sz w:val="42"/>
          <w:szCs w:val="42"/>
        </w:rPr>
        <w:t>第四部分</w:t>
      </w:r>
    </w:p>
    <w:p w14:paraId="03DD1551">
      <w:pPr>
        <w:spacing w:before="91" w:line="225" w:lineRule="auto"/>
        <w:ind w:left="2990"/>
        <w:rPr>
          <w:rFonts w:ascii="楷体" w:hAnsi="楷体" w:eastAsia="楷体" w:cs="楷体"/>
          <w:sz w:val="42"/>
          <w:szCs w:val="42"/>
        </w:rPr>
      </w:pPr>
      <w:r>
        <w:rPr>
          <w:rFonts w:ascii="楷体" w:hAnsi="楷体" w:eastAsia="楷体" w:cs="楷体"/>
          <w:spacing w:val="27"/>
          <w:sz w:val="42"/>
          <w:szCs w:val="42"/>
        </w:rPr>
        <w:t>2025年单位预算表</w:t>
      </w:r>
    </w:p>
    <w:p w14:paraId="278D38ED">
      <w:pPr>
        <w:spacing w:line="262" w:lineRule="auto"/>
        <w:rPr>
          <w:rFonts w:ascii="Arial"/>
          <w:sz w:val="21"/>
        </w:rPr>
      </w:pPr>
    </w:p>
    <w:p w14:paraId="78D89A2C">
      <w:pPr>
        <w:spacing w:line="263" w:lineRule="auto"/>
        <w:rPr>
          <w:rFonts w:ascii="Arial"/>
          <w:sz w:val="21"/>
        </w:rPr>
      </w:pPr>
    </w:p>
    <w:p w14:paraId="25E2E816">
      <w:pPr>
        <w:spacing w:line="263" w:lineRule="auto"/>
        <w:rPr>
          <w:rFonts w:ascii="Arial"/>
          <w:sz w:val="21"/>
        </w:rPr>
      </w:pPr>
    </w:p>
    <w:p w14:paraId="625C166A">
      <w:pPr>
        <w:pStyle w:val="2"/>
        <w:spacing w:before="101" w:line="222" w:lineRule="auto"/>
      </w:pPr>
      <w:r>
        <w:rPr>
          <w:spacing w:val="5"/>
        </w:rPr>
        <w:t>一、收支预算总表</w:t>
      </w:r>
    </w:p>
    <w:p w14:paraId="227E1583">
      <w:pPr>
        <w:pStyle w:val="2"/>
        <w:spacing w:before="47" w:line="222" w:lineRule="auto"/>
      </w:pPr>
      <w:r>
        <w:rPr>
          <w:spacing w:val="5"/>
        </w:rPr>
        <w:t>二、收入预算总表</w:t>
      </w:r>
    </w:p>
    <w:p w14:paraId="1E390856">
      <w:pPr>
        <w:pStyle w:val="2"/>
        <w:spacing w:before="37" w:line="222" w:lineRule="auto"/>
      </w:pPr>
      <w:r>
        <w:rPr>
          <w:spacing w:val="5"/>
        </w:rPr>
        <w:t>三、支出预算总表</w:t>
      </w:r>
    </w:p>
    <w:p w14:paraId="044681B4">
      <w:pPr>
        <w:pStyle w:val="2"/>
        <w:spacing w:before="47" w:line="222" w:lineRule="auto"/>
      </w:pPr>
      <w:r>
        <w:rPr>
          <w:spacing w:val="-1"/>
        </w:rPr>
        <w:t>四</w:t>
      </w:r>
      <w:r>
        <w:rPr>
          <w:spacing w:val="-80"/>
        </w:rPr>
        <w:t xml:space="preserve"> </w:t>
      </w:r>
      <w:r>
        <w:rPr>
          <w:spacing w:val="-1"/>
        </w:rPr>
        <w:t>、支出功能分类预算表</w:t>
      </w:r>
    </w:p>
    <w:p w14:paraId="575CBC9F">
      <w:pPr>
        <w:pStyle w:val="2"/>
        <w:spacing w:before="46" w:line="221" w:lineRule="auto"/>
      </w:pPr>
      <w:r>
        <w:rPr>
          <w:spacing w:val="5"/>
        </w:rPr>
        <w:t>五、支出经济分类预算表</w:t>
      </w:r>
    </w:p>
    <w:p w14:paraId="061C1516">
      <w:pPr>
        <w:pStyle w:val="2"/>
        <w:spacing w:before="29" w:line="222" w:lineRule="auto"/>
      </w:pPr>
      <w:r>
        <w:rPr>
          <w:spacing w:val="6"/>
        </w:rPr>
        <w:t>六、财政拨款预算总表</w:t>
      </w:r>
    </w:p>
    <w:p w14:paraId="14F706EB">
      <w:pPr>
        <w:pStyle w:val="2"/>
        <w:spacing w:before="57" w:line="222" w:lineRule="auto"/>
      </w:pPr>
      <w:r>
        <w:rPr>
          <w:spacing w:val="5"/>
        </w:rPr>
        <w:t>七、一般公共预算支出表</w:t>
      </w:r>
    </w:p>
    <w:p w14:paraId="11242F15">
      <w:pPr>
        <w:pStyle w:val="2"/>
        <w:spacing w:before="38" w:line="222" w:lineRule="auto"/>
      </w:pPr>
      <w:r>
        <w:rPr>
          <w:spacing w:val="8"/>
        </w:rPr>
        <w:t>八、一般公共预算基本支出表</w:t>
      </w:r>
    </w:p>
    <w:p w14:paraId="2984A9A2">
      <w:pPr>
        <w:pStyle w:val="2"/>
        <w:spacing w:before="57" w:line="222" w:lineRule="auto"/>
      </w:pPr>
      <w:r>
        <w:rPr>
          <w:spacing w:val="8"/>
        </w:rPr>
        <w:t>九、一般公共预算“三公”经费支出预算表</w:t>
      </w:r>
    </w:p>
    <w:p w14:paraId="342F2553">
      <w:pPr>
        <w:pStyle w:val="2"/>
        <w:spacing w:before="36" w:line="220" w:lineRule="auto"/>
      </w:pPr>
      <w:r>
        <w:rPr>
          <w:spacing w:val="7"/>
        </w:rPr>
        <w:t>十、政府性基金预算支出表</w:t>
      </w:r>
    </w:p>
    <w:p w14:paraId="5EACD2DE">
      <w:pPr>
        <w:pStyle w:val="2"/>
        <w:spacing w:before="52" w:line="222" w:lineRule="auto"/>
      </w:pPr>
      <w:r>
        <w:rPr>
          <w:spacing w:val="9"/>
        </w:rPr>
        <w:t>十一、国有资本经营预算支出表</w:t>
      </w:r>
    </w:p>
    <w:p w14:paraId="4A148D72">
      <w:pPr>
        <w:pStyle w:val="2"/>
        <w:spacing w:before="30" w:line="222" w:lineRule="auto"/>
      </w:pPr>
      <w:r>
        <w:rPr>
          <w:spacing w:val="5"/>
        </w:rPr>
        <w:t>十二、项目支出表</w:t>
      </w:r>
    </w:p>
    <w:p w14:paraId="3D1B749D">
      <w:pPr>
        <w:pStyle w:val="2"/>
        <w:spacing w:before="44" w:line="222" w:lineRule="auto"/>
      </w:pPr>
      <w:r>
        <w:rPr>
          <w:spacing w:val="6"/>
        </w:rPr>
        <w:t>十三、政府采购预算表</w:t>
      </w:r>
    </w:p>
    <w:p w14:paraId="28CDB5C4">
      <w:pPr>
        <w:pStyle w:val="2"/>
        <w:spacing w:before="47" w:line="222" w:lineRule="auto"/>
      </w:pPr>
      <w:r>
        <w:rPr>
          <w:spacing w:val="7"/>
        </w:rPr>
        <w:t>十四、政府购买服务预算表</w:t>
      </w:r>
    </w:p>
    <w:p w14:paraId="1B677A76">
      <w:pPr>
        <w:pStyle w:val="2"/>
        <w:spacing w:before="48" w:line="222" w:lineRule="auto"/>
      </w:pPr>
      <w:r>
        <w:rPr>
          <w:spacing w:val="8"/>
        </w:rPr>
        <w:t>十五、项目支出预算绩效目标表</w:t>
      </w:r>
    </w:p>
    <w:sectPr>
      <w:footerReference r:id="rId13" w:type="default"/>
      <w:pgSz w:w="12570" w:h="17300"/>
      <w:pgMar w:top="1392" w:right="1885" w:bottom="1621" w:left="1550" w:header="0" w:footer="147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D8CBF5">
    <w:pPr>
      <w:spacing w:line="174" w:lineRule="auto"/>
      <w:ind w:left="4790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D31E9">
    <w:pPr>
      <w:spacing w:line="228" w:lineRule="auto"/>
      <w:ind w:left="4780"/>
      <w:rPr>
        <w:rFonts w:ascii="宋体" w:hAnsi="宋体" w:eastAsia="宋体" w:cs="宋体"/>
        <w:sz w:val="15"/>
        <w:szCs w:val="15"/>
      </w:rPr>
    </w:pPr>
    <w:r>
      <w:rPr>
        <w:rFonts w:ascii="宋体" w:hAnsi="宋体" w:eastAsia="宋体" w:cs="宋体"/>
        <w:sz w:val="15"/>
        <w:szCs w:val="15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1E5D05">
    <w:pPr>
      <w:spacing w:line="175" w:lineRule="auto"/>
      <w:ind w:left="4789"/>
      <w:rPr>
        <w:rFonts w:ascii="Times New Roman" w:hAnsi="Times New Roman" w:eastAsia="Times New Roman" w:cs="Times New Roman"/>
        <w:sz w:val="16"/>
        <w:szCs w:val="16"/>
      </w:rPr>
    </w:pPr>
    <w:r>
      <w:rPr>
        <w:rFonts w:ascii="Times New Roman" w:hAnsi="Times New Roman" w:eastAsia="Times New Roman" w:cs="Times New Roman"/>
        <w:sz w:val="16"/>
        <w:szCs w:val="16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8BDB51">
    <w:pPr>
      <w:spacing w:line="173" w:lineRule="auto"/>
      <w:ind w:left="4779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3EF83">
    <w:pPr>
      <w:spacing w:line="171" w:lineRule="auto"/>
      <w:ind w:left="4999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53822E">
    <w:pPr>
      <w:spacing w:line="172" w:lineRule="auto"/>
      <w:ind w:left="4779"/>
      <w:rPr>
        <w:rFonts w:ascii="Times New Roman" w:hAnsi="Times New Roman" w:eastAsia="Times New Roman" w:cs="Times New Roman"/>
        <w:sz w:val="13"/>
        <w:szCs w:val="13"/>
      </w:rPr>
    </w:pPr>
    <w:r>
      <w:rPr>
        <w:rFonts w:ascii="Times New Roman" w:hAnsi="Times New Roman" w:eastAsia="Times New Roman" w:cs="Times New Roman"/>
        <w:sz w:val="13"/>
        <w:szCs w:val="13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678342">
    <w:pPr>
      <w:spacing w:line="170" w:lineRule="auto"/>
      <w:ind w:left="4784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58DFA">
    <w:pPr>
      <w:spacing w:line="173" w:lineRule="auto"/>
      <w:ind w:left="5179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58E45">
    <w:pPr>
      <w:spacing w:line="175" w:lineRule="auto"/>
      <w:ind w:left="4769"/>
      <w:rPr>
        <w:rFonts w:ascii="Times New Roman" w:hAnsi="Times New Roman" w:eastAsia="Times New Roman" w:cs="Times New Roman"/>
        <w:sz w:val="16"/>
        <w:szCs w:val="16"/>
      </w:rPr>
    </w:pPr>
    <w:r>
      <w:rPr>
        <w:rFonts w:ascii="Times New Roman" w:hAnsi="Times New Roman" w:eastAsia="Times New Roman" w:cs="Times New Roman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3282151"/>
    <w:rsid w:val="0FFB10A5"/>
    <w:rsid w:val="1B3672B3"/>
    <w:rsid w:val="1C0C5403"/>
    <w:rsid w:val="27FD02F5"/>
    <w:rsid w:val="2C496175"/>
    <w:rsid w:val="32E87DE5"/>
    <w:rsid w:val="53117EE6"/>
    <w:rsid w:val="558307D3"/>
    <w:rsid w:val="6D203E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theme" Target="theme/theme1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2826</Words>
  <Characters>3063</Characters>
  <TotalTime>8</TotalTime>
  <ScaleCrop>false</ScaleCrop>
  <LinksUpToDate>false</LinksUpToDate>
  <CharactersWithSpaces>3140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2025-09-11T18:02:00Z</dcterms:created>
  <dc:creator>Administrator</dc:creator>
  <cp:lastModifiedBy>SUN</cp:lastModifiedBy>
  <dcterms:modified xsi:type="dcterms:W3CDTF">2025-09-11T10:51:48Z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2025-09-11T18:02:16Z</vt:filetime>
  </property>
  <property fmtid="{D5CDD505-2E9C-101B-9397-08002B2CF9AE}" pid="4" name="UsrData">
    <vt:lpwstr>68c29e255d57c9001f88ffb0wl</vt:lpwstr>
  </property>
  <property fmtid="{D5CDD505-2E9C-101B-9397-08002B2CF9AE}" pid="5" name="KSOTemplateDocerSaveRecord">
    <vt:lpwstr>eyJoZGlkIjoiZTg2MTA5Y2ViM2IzNjllNjZiMGM2OThmNDlkYzJkZGIiLCJ1c2VySWQiOiI0MTI3Njg3MjEifQ==</vt:lpwstr>
  </property>
  <property fmtid="{D5CDD505-2E9C-101B-9397-08002B2CF9AE}" pid="6" name="KSOProductBuildVer">
    <vt:lpwstr>2052-12.1.0.22529</vt:lpwstr>
  </property>
  <property fmtid="{D5CDD505-2E9C-101B-9397-08002B2CF9AE}" pid="7" name="ICV">
    <vt:lpwstr>634E3AE5886B45B48494A8C9E5894652_13</vt:lpwstr>
  </property>
</Properties>
</file>