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政  府  工  作  报  告</w:t>
      </w:r>
    </w:p>
    <w:p>
      <w:pPr>
        <w:adjustRightInd w:val="0"/>
        <w:snapToGrid w:val="0"/>
        <w:spacing w:line="560" w:lineRule="exact"/>
        <w:jc w:val="center"/>
        <w:rPr>
          <w:rFonts w:hint="eastAsia" w:ascii="楷体_GB2312" w:hAnsi="楷体" w:eastAsia="楷体_GB2312"/>
          <w:spacing w:val="-11"/>
          <w:w w:val="98"/>
          <w:sz w:val="32"/>
          <w:szCs w:val="32"/>
        </w:rPr>
      </w:pPr>
    </w:p>
    <w:p>
      <w:pPr>
        <w:adjustRightInd w:val="0"/>
        <w:snapToGrid w:val="0"/>
        <w:spacing w:line="560" w:lineRule="exact"/>
        <w:jc w:val="center"/>
        <w:rPr>
          <w:rFonts w:hint="eastAsia" w:ascii="楷体_GB2312" w:hAnsi="楷体" w:eastAsia="楷体_GB2312"/>
          <w:spacing w:val="-6"/>
          <w:w w:val="100"/>
          <w:sz w:val="32"/>
          <w:szCs w:val="32"/>
        </w:rPr>
      </w:pPr>
      <w:r>
        <w:rPr>
          <w:rFonts w:hint="eastAsia" w:ascii="楷体_GB2312" w:hAnsi="楷体" w:eastAsia="楷体_GB2312"/>
          <w:spacing w:val="-6"/>
          <w:w w:val="100"/>
          <w:sz w:val="32"/>
          <w:szCs w:val="32"/>
        </w:rPr>
        <w:t>——2021年12月27日在庄河市第八届人民代表大会第一次会议上</w:t>
      </w:r>
    </w:p>
    <w:p>
      <w:pPr>
        <w:pStyle w:val="2"/>
        <w:ind w:left="0" w:leftChars="0" w:firstLine="0" w:firstLineChars="0"/>
        <w:jc w:val="center"/>
        <w:rPr>
          <w:rFonts w:hint="eastAsia" w:eastAsia="楷体_GB2312"/>
          <w:spacing w:val="0"/>
          <w:w w:val="100"/>
          <w:lang w:eastAsia="zh-CN"/>
        </w:rPr>
      </w:pPr>
      <w:r>
        <w:rPr>
          <w:rFonts w:hint="eastAsia" w:ascii="楷体_GB2312" w:hAnsi="楷体" w:eastAsia="楷体_GB2312"/>
          <w:spacing w:val="0"/>
          <w:w w:val="100"/>
          <w:sz w:val="32"/>
          <w:szCs w:val="32"/>
          <w:lang w:eastAsia="zh-CN"/>
        </w:rPr>
        <w:t>庄河市人民政府代市长</w:t>
      </w:r>
      <w:r>
        <w:rPr>
          <w:rFonts w:hint="eastAsia" w:ascii="楷体_GB2312" w:hAnsi="楷体" w:eastAsia="楷体_GB2312"/>
          <w:spacing w:val="0"/>
          <w:w w:val="100"/>
          <w:sz w:val="32"/>
          <w:szCs w:val="32"/>
          <w:lang w:val="en-US" w:eastAsia="zh-CN"/>
        </w:rPr>
        <w:t xml:space="preserve">  孙功利</w:t>
      </w:r>
    </w:p>
    <w:p>
      <w:pPr>
        <w:snapToGrid w:val="0"/>
        <w:spacing w:line="600" w:lineRule="exact"/>
        <w:rPr>
          <w:rFonts w:hint="eastAsia" w:ascii="仿宋_GB2312" w:hAnsi="仿宋_GB2312" w:eastAsia="仿宋_GB2312" w:cs="仿宋_GB2312"/>
          <w:sz w:val="32"/>
          <w:szCs w:val="32"/>
        </w:rPr>
      </w:pPr>
    </w:p>
    <w:p>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各位代表：</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现在，我代表庄河市人民政府向大会报告工作，请予审议，并请市政协委员和列席同志提出意见。</w:t>
      </w:r>
    </w:p>
    <w:p>
      <w:pPr>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一、2021年和七届政府工作回顾</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是具有重要历史性意义的一年，我们迎来了中国共产党百年华诞，开启了全面建设社会主义现代化国家的新征程。2021年也是非同寻常、极具挑战的一年，外部环境复杂严峻，改革发展稳定任务艰巨繁重，特别是突如其来的“11·03”疫情给我市经济社会发展带来严重冲击影响。面对新的形势、新的任务和新的考验，在市委的坚强领导下，在市人大、市政协的监督支持下，市政府坚持以习近平新时代中国特色社会主义思想为指导，深入贯彻党的十九大和十九届历次全会、中央经济工作会议精神，认真落实省、大连市和庄河市党代会精神，团结带领全市人民，积极应对风险挑战，协同推进各项工作，奋力夺取疫情防控和经济社会发展的双胜利。连续3年入围全国县域经济百强，成功跻身全国投资竞争力百强县，较好地完成市七届人大五次会议确定的目标任务，全市经济社会高质量发展迈出坚实步伐，“十四五”实现良好开局。</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预计，实现地区生产总值541.6亿元，增长8.1%；一般公共预算收入49亿元，按可比口径计算增长7%；全社会固定资产投资114.3亿元，增长29.4%；规模以上工业增加值增速10%；社会消费品零售总额138.82亿元，增长10%；城镇和农村居民人均可支配收入分别增长8%和10%。预计可以全面较好完成大连市下达的各项目标任务。</w:t>
      </w:r>
    </w:p>
    <w:p>
      <w:pPr>
        <w:pStyle w:val="2"/>
        <w:snapToGrid w:val="0"/>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一年来的主要工作和成效是：</w:t>
      </w:r>
    </w:p>
    <w:p>
      <w:pPr>
        <w:pStyle w:val="2"/>
        <w:snapToGrid w:val="0"/>
        <w:spacing w:line="600" w:lineRule="exact"/>
        <w:ind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（一）凝心聚力强推进，项目投资量质齐升</w:t>
      </w:r>
    </w:p>
    <w:p>
      <w:pPr>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有效投资持续增长。</w:t>
      </w:r>
      <w:r>
        <w:rPr>
          <w:rFonts w:hint="eastAsia" w:ascii="仿宋_GB2312" w:hAnsi="仿宋_GB2312" w:eastAsia="仿宋_GB2312" w:cs="仿宋_GB2312"/>
          <w:sz w:val="32"/>
          <w:szCs w:val="32"/>
        </w:rPr>
        <w:t>二产项目投资高速增长，完成74.5亿元，增长90%。研发经费</w:t>
      </w:r>
      <w:r>
        <w:rPr>
          <w:rFonts w:hint="eastAsia" w:ascii="仿宋_GB2312" w:hAnsi="仿宋_GB2312" w:eastAsia="仿宋_GB2312" w:cs="仿宋_GB2312"/>
          <w:sz w:val="32"/>
          <w:szCs w:val="32"/>
          <w:vertAlign w:val="superscript"/>
        </w:rPr>
        <w:t>①</w:t>
      </w:r>
      <w:r>
        <w:rPr>
          <w:rFonts w:hint="eastAsia" w:ascii="仿宋_GB2312" w:hAnsi="仿宋_GB2312" w:eastAsia="仿宋_GB2312" w:cs="仿宋_GB2312"/>
          <w:sz w:val="32"/>
          <w:szCs w:val="32"/>
        </w:rPr>
        <w:t>投入势头良好，完成3.3亿元，增长27%。清洁能源和教育科创项目增势强劲，完成投资68亿元，增长99.1%。省外实际到位资金75.6亿元,增长23%；省内实际到位资金24亿元，增长20%。实际利用外资6604万美元，完成全年目标任务260%。政府专项债券等政策性资金到位2.7亿元。新签约创新型生态生蚝小镇、津中会议会展中心等亿元以上项目8个，储备项目331个。</w:t>
      </w:r>
    </w:p>
    <w:p>
      <w:pPr>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项目建设有序推进。</w:t>
      </w:r>
      <w:r>
        <w:rPr>
          <w:rFonts w:hint="eastAsia" w:ascii="仿宋_GB2312" w:hAnsi="仿宋_GB2312" w:eastAsia="仿宋_GB2312" w:cs="仿宋_GB2312"/>
          <w:sz w:val="32"/>
          <w:szCs w:val="32"/>
        </w:rPr>
        <w:t>大唐Ⅰ号、华能Ⅱ号、华能Ⅳ号海上风电场项目建成投产，新增清洁能源并网发电75万千瓦。庄河135万千瓦海上风电二期项目报至国家能源局待批。我市成为中国北方地区最大的海上风电项目基地。辽宁庄河抽水蓄能电站项目完成核准变更，城山抽水蓄能电站项目纳入国家《抽水蓄能中长期发展规划（2021-2035年）》。核电项目完成陆域实物指标调查。整县屋顶分布式光伏开发纳入国家试点，滩涂光伏发电项目纳入省级渔光互补项目用海管理试点。我市多能协同的千万千瓦级清洁能源生产基地初步形成。大学城东校区二期建成投用，海华学院创新创业基地主体封顶。国家数字渔业创新应用基地项目正式获批。北黄海冷链物流基地二期6.5万吨冷库项目扎实推进。</w:t>
      </w:r>
    </w:p>
    <w:p>
      <w:pPr>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园区发展势头良好。</w:t>
      </w:r>
      <w:r>
        <w:rPr>
          <w:rFonts w:hint="eastAsia" w:ascii="仿宋_GB2312" w:hAnsi="仿宋_GB2312" w:eastAsia="仿宋_GB2312" w:cs="仿宋_GB2312"/>
          <w:sz w:val="32"/>
          <w:szCs w:val="32"/>
        </w:rPr>
        <w:t>北黄海经开区深化体制改革，实现“瘦身健体、减员增效”目标，预计完成地区生产总值48亿元，增长10%。项目建设梯次推进，千晁装配式建筑、中英孵化园、华威模切机等29个项目落地建设，拉动园区固定资产投资同比增长300%。实际利用外资5352万美元，占全市比重高达81%。工业经济指标大幅攀升，规上工业增加值增速超过50%，工业经济利润率增长5.2%，呈现产销两旺、效益稳步向好态势。清洁能源、装备制造等重点产业发展迅速，规上工业和服务业增长强劲，园区产业结构更趋合理。</w:t>
      </w:r>
    </w:p>
    <w:p>
      <w:pPr>
        <w:snapToGrid w:val="0"/>
        <w:spacing w:line="600" w:lineRule="exact"/>
        <w:ind w:firstLine="643" w:firstLineChars="200"/>
        <w:rPr>
          <w:rFonts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（二）</w:t>
      </w:r>
      <w:r>
        <w:rPr>
          <w:rFonts w:hint="eastAsia" w:ascii="楷体_GB2312" w:hAnsi="楷体_GB2312" w:eastAsia="楷体_GB2312" w:cs="楷体_GB2312"/>
          <w:b/>
          <w:bCs/>
          <w:sz w:val="32"/>
          <w:szCs w:val="32"/>
        </w:rPr>
        <w:t>扬长补短促转型，</w:t>
      </w:r>
      <w:r>
        <w:rPr>
          <w:rFonts w:hint="eastAsia" w:ascii="Times New Roman" w:hAnsi="Times New Roman" w:eastAsia="楷体_GB2312" w:cs="楷体_GB2312"/>
          <w:b/>
          <w:bCs/>
          <w:sz w:val="32"/>
          <w:szCs w:val="32"/>
        </w:rPr>
        <w:t>产业质态持续优化</w:t>
      </w:r>
    </w:p>
    <w:p>
      <w:pPr>
        <w:snapToGrid w:val="0"/>
        <w:spacing w:line="600" w:lineRule="exact"/>
        <w:ind w:firstLine="643" w:firstLineChars="200"/>
        <w:rPr>
          <w:rFonts w:ascii="Times New Roman" w:hAnsi="Times New Roman" w:eastAsia="仿宋_GB2312"/>
          <w:snapToGrid w:val="0"/>
          <w:sz w:val="32"/>
          <w:szCs w:val="32"/>
          <w:lang w:val="zh-CN"/>
        </w:rPr>
      </w:pPr>
      <w:r>
        <w:rPr>
          <w:rFonts w:hint="eastAsia" w:ascii="仿宋_GB2312" w:hAnsi="仿宋_GB2312" w:eastAsia="仿宋_GB2312" w:cs="仿宋_GB2312"/>
          <w:b/>
          <w:bCs/>
          <w:sz w:val="32"/>
          <w:szCs w:val="32"/>
        </w:rPr>
        <w:t>现代农业稳步推进。</w:t>
      </w:r>
      <w:r>
        <w:rPr>
          <w:rFonts w:hint="eastAsia" w:ascii="仿宋_GB2312" w:hAnsi="仿宋_GB2312" w:eastAsia="仿宋_GB2312" w:cs="仿宋_GB2312"/>
          <w:sz w:val="32"/>
          <w:szCs w:val="32"/>
        </w:rPr>
        <w:t>新建高标准农田1.9万亩，建立农业科技示范基地4处，新建设施农业2016亩。</w:t>
      </w:r>
      <w:r>
        <w:rPr>
          <w:rFonts w:hint="eastAsia" w:ascii="仿宋_GB2312" w:eastAsia="仿宋_GB2312"/>
          <w:sz w:val="32"/>
          <w:szCs w:val="32"/>
        </w:rPr>
        <w:t>新增大连市级以上农业龙头企业12家。</w:t>
      </w:r>
      <w:r>
        <w:rPr>
          <w:rFonts w:hint="eastAsia" w:ascii="仿宋_GB2312" w:hAnsi="仿宋_GB2312" w:eastAsia="仿宋_GB2312" w:cs="仿宋_GB2312"/>
          <w:sz w:val="32"/>
          <w:szCs w:val="32"/>
        </w:rPr>
        <w:t>新获绿色食品认证产品3个、有机食品认证产品2个。新发展农民合作社11家、家庭农场34家，流转土地4.8万亩。投资5243万元建成低收入村产业发展项目13个、壮大村级集体经济项目15个。土地确权颁证实现“应颁尽颁”。整村授信</w:t>
      </w:r>
      <w:r>
        <w:rPr>
          <w:rFonts w:hint="eastAsia" w:ascii="仿宋_GB2312" w:hAnsi="仿宋_GB2312" w:eastAsia="仿宋_GB2312" w:cs="仿宋_GB2312"/>
          <w:sz w:val="32"/>
          <w:szCs w:val="32"/>
          <w:vertAlign w:val="superscript"/>
        </w:rPr>
        <w:t>②</w:t>
      </w:r>
      <w:r>
        <w:rPr>
          <w:rFonts w:hint="eastAsia" w:ascii="仿宋_GB2312" w:hAnsi="仿宋_GB2312" w:eastAsia="仿宋_GB2312" w:cs="仿宋_GB2312"/>
          <w:sz w:val="32"/>
          <w:szCs w:val="32"/>
        </w:rPr>
        <w:t>186个，预授信金额达8.24亿元。粮食产量达到60万吨，渔业总产值102.3亿元，稳产保供好于预期。市农业农村局</w:t>
      </w:r>
      <w:r>
        <w:rPr>
          <w:rFonts w:ascii="Times New Roman" w:hAnsi="Times New Roman" w:eastAsia="仿宋_GB2312"/>
          <w:snapToGrid w:val="0"/>
          <w:sz w:val="32"/>
          <w:szCs w:val="32"/>
          <w:lang w:val="zh-CN"/>
        </w:rPr>
        <w:t>荣获</w:t>
      </w:r>
      <w:r>
        <w:rPr>
          <w:rFonts w:hint="eastAsia" w:ascii="Times New Roman" w:hAnsi="Times New Roman" w:eastAsia="仿宋_GB2312"/>
          <w:snapToGrid w:val="0"/>
          <w:sz w:val="32"/>
          <w:szCs w:val="32"/>
          <w:lang w:val="zh-CN"/>
        </w:rPr>
        <w:t>“</w:t>
      </w:r>
      <w:r>
        <w:rPr>
          <w:rFonts w:ascii="Times New Roman" w:hAnsi="Times New Roman" w:eastAsia="仿宋_GB2312"/>
          <w:snapToGrid w:val="0"/>
          <w:sz w:val="32"/>
          <w:szCs w:val="32"/>
          <w:lang w:val="zh-CN"/>
        </w:rPr>
        <w:t>全国粮食生产先进集体</w:t>
      </w:r>
      <w:r>
        <w:rPr>
          <w:rFonts w:hint="eastAsia" w:ascii="Times New Roman" w:hAnsi="Times New Roman" w:eastAsia="仿宋_GB2312"/>
          <w:snapToGrid w:val="0"/>
          <w:sz w:val="32"/>
          <w:szCs w:val="32"/>
          <w:lang w:val="zh-CN"/>
        </w:rPr>
        <w:t>”</w:t>
      </w:r>
      <w:r>
        <w:rPr>
          <w:rFonts w:ascii="Times New Roman" w:hAnsi="Times New Roman" w:eastAsia="仿宋_GB2312"/>
          <w:snapToGrid w:val="0"/>
          <w:sz w:val="32"/>
          <w:szCs w:val="32"/>
          <w:lang w:val="zh-CN"/>
        </w:rPr>
        <w:t>称号</w:t>
      </w:r>
      <w:r>
        <w:rPr>
          <w:rFonts w:hint="eastAsia" w:ascii="Times New Roman" w:hAnsi="Times New Roman" w:eastAsia="仿宋_GB2312"/>
          <w:snapToGrid w:val="0"/>
          <w:sz w:val="32"/>
          <w:szCs w:val="32"/>
          <w:lang w:val="zh-CN"/>
        </w:rPr>
        <w:t>。</w:t>
      </w:r>
    </w:p>
    <w:p>
      <w:pPr>
        <w:snapToGrid w:val="0"/>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装备制造业转型升级。</w:t>
      </w:r>
      <w:r>
        <w:rPr>
          <w:rFonts w:hint="eastAsia" w:ascii="仿宋_GB2312" w:hAnsi="仿宋_GB2312" w:eastAsia="仿宋_GB2312" w:cs="仿宋_GB2312"/>
          <w:sz w:val="32"/>
          <w:szCs w:val="32"/>
        </w:rPr>
        <w:t>中国海装1万千瓦风电机组研发下线，填补了我国深远海超大型海上风力发电机组空白。安泰化工乳化炸药智能化改造项目顺利完成，获得大连市智能化改造专项资金支持。成功认定国家级“专精特新”小巨人企业2家、省级“专精特新”项目6个。34家企业进入国家科技型中小企业库，28家企业通过2021年度国家高新技术企业认定，5家企业获得省级雏鹰、瞪羚企业备案。新增大连市级以上科技创新平台4家、省级新型创新主体5家。承担大连市“揭榜挂帅”</w:t>
      </w:r>
      <w:r>
        <w:rPr>
          <w:rFonts w:hint="eastAsia" w:ascii="仿宋_GB2312" w:hAnsi="仿宋_GB2312" w:eastAsia="仿宋_GB2312" w:cs="仿宋_GB2312"/>
          <w:sz w:val="32"/>
          <w:szCs w:val="32"/>
          <w:vertAlign w:val="superscript"/>
        </w:rPr>
        <w:t>③</w:t>
      </w:r>
      <w:r>
        <w:rPr>
          <w:rFonts w:hint="eastAsia" w:ascii="仿宋_GB2312" w:hAnsi="仿宋_GB2312" w:eastAsia="仿宋_GB2312" w:cs="仿宋_GB2312"/>
          <w:sz w:val="32"/>
          <w:szCs w:val="32"/>
        </w:rPr>
        <w:t>项目“卡脖子”关键核心技术研发3项，荣获大连市2021年度科技进步二等奖2项。全年技术合同成交额超过1900万元，增长5.6%。</w:t>
      </w:r>
    </w:p>
    <w:p>
      <w:pPr>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商旅物流业企稳提升。</w:t>
      </w:r>
      <w:r>
        <w:rPr>
          <w:rFonts w:hint="eastAsia" w:ascii="仿宋_GB2312" w:hAnsi="仿宋_GB2312" w:eastAsia="仿宋_GB2312" w:cs="仿宋_GB2312"/>
          <w:sz w:val="32"/>
          <w:szCs w:val="32"/>
        </w:rPr>
        <w:t>创新“示范场+电商+市场”和“实体店面+线上销售+直播社交平台销售”发展模式，成功创建全省首个国家农村电商典型激励县，荣获上级督查激励奖励1300万元。庄河港全年货运吞吐量550万吨，增长10%。快递服务加速向农村延伸，完成业务量3000万件，增长20%。全域旅游示范区建设取得重要成果，成功创建“美丽中国·深呼吸小城”。全年实现旅游收入17亿元，增长112%；接待游客280万人次，增长133%。</w:t>
      </w:r>
    </w:p>
    <w:p>
      <w:pPr>
        <w:snapToGrid w:val="0"/>
        <w:spacing w:line="6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（三）精益求精抓建管，城乡面貌持续改观</w:t>
      </w:r>
    </w:p>
    <w:p>
      <w:pPr>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城市功能不断完善。</w:t>
      </w:r>
      <w:r>
        <w:rPr>
          <w:rFonts w:hint="eastAsia" w:ascii="仿宋_GB2312" w:hAnsi="仿宋_GB2312" w:eastAsia="仿宋_GB2312" w:cs="仿宋_GB2312"/>
          <w:sz w:val="32"/>
          <w:szCs w:val="32"/>
        </w:rPr>
        <w:t>高质量编制全市国土空间总体规划，为城市发展绘就美好蓝图。投资1.8亿元推动海绵城市PPP等27个城市项目建设。投资1.45亿元的汽车客运新站投入使用。新建和改造供水、供热管网26公里。中心城区内环路、新华路南段改造完成。大学城三号路、世纪大街东延、内环路南延、疏港公路一期工程稳步推进。</w:t>
      </w:r>
      <w:r>
        <w:rPr>
          <w:rFonts w:hint="eastAsia" w:ascii="仿宋_GB2312" w:hAnsi="仿宋_GB2312" w:eastAsia="仿宋_GB2312" w:cs="仿宋_GB2312"/>
          <w:sz w:val="32"/>
        </w:rPr>
        <w:t>东扩、西进、南拓</w:t>
      </w:r>
      <w:r>
        <w:rPr>
          <w:rFonts w:hint="eastAsia" w:ascii="仿宋_GB2312" w:hAnsi="仿宋_GB2312" w:eastAsia="仿宋_GB2312" w:cs="仿宋_GB2312"/>
          <w:sz w:val="32"/>
          <w:szCs w:val="32"/>
        </w:rPr>
        <w:t>的城市格局全面展开，宜居城市魅力更加彰显。</w:t>
      </w:r>
    </w:p>
    <w:p>
      <w:pPr>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城市管理水平不断提高。</w:t>
      </w:r>
      <w:r>
        <w:rPr>
          <w:rFonts w:hint="eastAsia" w:ascii="仿宋_GB2312" w:hAnsi="华文仿宋" w:eastAsia="仿宋_GB2312"/>
          <w:sz w:val="32"/>
          <w:szCs w:val="32"/>
        </w:rPr>
        <w:t>再获全国文明城市提名</w:t>
      </w:r>
      <w:r>
        <w:rPr>
          <w:rFonts w:hint="eastAsia" w:ascii="仿宋_GB2312" w:hAnsi="仿宋_GB2312" w:eastAsia="仿宋_GB2312" w:cs="仿宋_GB2312"/>
          <w:sz w:val="32"/>
          <w:szCs w:val="32"/>
        </w:rPr>
        <w:t>，城市更加整洁有序。</w:t>
      </w:r>
      <w:r>
        <w:rPr>
          <w:rFonts w:ascii="Times New Roman" w:hAnsi="仿宋_GB2312" w:eastAsia="仿宋_GB2312"/>
          <w:color w:val="000000"/>
          <w:sz w:val="32"/>
          <w:szCs w:val="32"/>
        </w:rPr>
        <w:t>城市综合执法体制改革扎实推进</w:t>
      </w:r>
      <w:r>
        <w:rPr>
          <w:rFonts w:hint="eastAsia" w:ascii="Times New Roman" w:hAnsi="仿宋_GB2312" w:eastAsia="仿宋_GB2312"/>
          <w:color w:val="000000"/>
          <w:sz w:val="32"/>
          <w:szCs w:val="32"/>
        </w:rPr>
        <w:t>，</w:t>
      </w:r>
      <w:r>
        <w:rPr>
          <w:rFonts w:hint="eastAsia" w:ascii="仿宋_GB2312" w:hAnsi="仿宋_GB2312" w:eastAsia="仿宋_GB2312" w:cs="仿宋_GB2312"/>
          <w:sz w:val="32"/>
          <w:szCs w:val="32"/>
        </w:rPr>
        <w:t>环卫市场化改革顺利完成。投资1442万元改造老旧小区18万平方米，惠及居民1962户。深入推进垃圾分类，公共区域新增分类投放设施5130个，城市建成区生活垃圾分类投放覆盖率达到100%。清理违法建筑7112平方米，拆除破旧围挡2420米，腾退土地3.7万平方米。老庙岭门窗市场等一批违法建设、占道经营行为得到有效整治。</w:t>
      </w:r>
    </w:p>
    <w:p>
      <w:pPr>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农村基础设施不断夯实。</w:t>
      </w:r>
      <w:r>
        <w:rPr>
          <w:rFonts w:hint="eastAsia" w:ascii="仿宋_GB2312" w:hAnsi="仿宋_GB2312" w:eastAsia="仿宋_GB2312" w:cs="仿宋_GB2312"/>
          <w:sz w:val="32"/>
          <w:szCs w:val="32"/>
        </w:rPr>
        <w:t>天然气高压管道明阳段工程顺利启动。大中修农村公路175公里、国省干线43公里。成功打通鹤大线林家山至小沟段和庄盖高速连接线2条“断头路”。新增农村道路硬化152万平方米，位列大连市各区市县首位。投资5.4亿元开展城乡电网升级改造。黑岛冷家500千伏升压工程主体完工，花园口220千伏变电站线路工程顺利推进，北黄海新兴、大郑郭店等3座66千伏输变电工程建成投用。新建、改造农村电网变压器392台。实施农村饮水、水库除险加固、水毁修复工程40项。农村无害化卫生厕所实现“应管尽管”。建成美丽乡村试点5个，获评“辽宁省农村人居环境整治成效明显激励县”。兰店乡元和村荣获“全国乡村振兴最美红色文旅目的地”称号。</w:t>
      </w:r>
    </w:p>
    <w:p>
      <w:pPr>
        <w:snapToGrid w:val="0"/>
        <w:spacing w:line="6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（四）多措并举促治理，生态环境稳定向好</w:t>
      </w:r>
    </w:p>
    <w:p>
      <w:pPr>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大气污染治理成效明显</w:t>
      </w:r>
      <w:r>
        <w:rPr>
          <w:rFonts w:hint="eastAsia" w:ascii="仿宋_GB2312" w:hAnsi="仿宋_GB2312" w:eastAsia="仿宋_GB2312" w:cs="仿宋_GB2312"/>
          <w:sz w:val="32"/>
          <w:szCs w:val="32"/>
        </w:rPr>
        <w:t>。大力开展重污染天气“保良减污”行动，全市258家企业纳入应急管控。强化扬尘监管，市内工程扬尘监控系统联网率100%。全面加强石材加工企业污染防治，依法查处违法石材加工厂12家。秸秆综合利用提质增效，入选“秸秆综合利用国家重点县试点”。全年空气质量优良率达94.5%，位列大连市各区市县第2名。</w:t>
      </w:r>
    </w:p>
    <w:p>
      <w:pPr>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水环境治理效能不断提升</w:t>
      </w:r>
      <w:r>
        <w:rPr>
          <w:rFonts w:hint="eastAsia" w:ascii="仿宋_GB2312" w:hAnsi="仿宋_GB2312" w:eastAsia="仿宋_GB2312" w:cs="仿宋_GB2312"/>
          <w:sz w:val="32"/>
          <w:szCs w:val="32"/>
        </w:rPr>
        <w:t>。投入400万元整治河道150公里，各级河长巡河1.3万次。对全市流域面积10平方公里以上109条河流实行“一河一策”治理保护，完成88条10-50平方公里河流确权划界，饮用水水源地内14家工业企业关闭工作顺利收尾，饮用水源达标率和国考断面合格率均为100%。</w:t>
      </w:r>
    </w:p>
    <w:p>
      <w:pPr>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土壤污染防治工作扎实推进</w:t>
      </w:r>
      <w:r>
        <w:rPr>
          <w:rFonts w:hint="eastAsia" w:ascii="仿宋_GB2312" w:hAnsi="仿宋_GB2312" w:eastAsia="仿宋_GB2312" w:cs="仿宋_GB2312"/>
          <w:sz w:val="32"/>
          <w:szCs w:val="32"/>
        </w:rPr>
        <w:t>。污废循环处理综合体项目开工建设。积极开展可降解地膜示范推广，完成废旧农膜转运550吨,畜禽粪污综合利用率达到91%。完成森林抚育6000亩，治理水土流失1.2万亩。全年转运农村垃圾3.4万吨，清理三堆7.2万个，农村生活垃圾无害化处理率达到100%。成功创建辽宁省首个“国家农业面源污染治理与监督指导试点县”。</w:t>
      </w:r>
    </w:p>
    <w:p>
      <w:pPr>
        <w:snapToGrid w:val="0"/>
        <w:spacing w:line="6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（五）精准发力补短板，民生福祉持续改善</w:t>
      </w:r>
    </w:p>
    <w:p>
      <w:pPr>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社会保障坚实有力</w:t>
      </w:r>
      <w:r>
        <w:rPr>
          <w:rFonts w:hint="eastAsia" w:ascii="仿宋_GB2312" w:hAnsi="仿宋_GB2312" w:eastAsia="仿宋_GB2312" w:cs="仿宋_GB2312"/>
          <w:sz w:val="32"/>
          <w:szCs w:val="32"/>
        </w:rPr>
        <w:t>。城镇新增就业10209人，城镇登记失业率2.35%。城乡居民医疗保险参保率稳定在95%以上。累计发放各类生活困难群体救助资金1.4亿元。城乡低保标准分别提高到780元和580元，城乡特困供养标准分别提高到1560元和1014元。强化退役军人社保接续，发放抚恤补助5640万元。为全市重点优抚对象发放医疗补助和缴纳医疗保险331万元。为163名农民工追缴工资339.8万元。充分发挥慈善救助补充作用，累计捐助款物折合3000余万元。</w:t>
      </w:r>
    </w:p>
    <w:p>
      <w:pPr>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社会事业蓬勃发展</w:t>
      </w:r>
      <w:r>
        <w:rPr>
          <w:rFonts w:hint="eastAsia" w:ascii="仿宋_GB2312" w:hAnsi="仿宋_GB2312" w:eastAsia="仿宋_GB2312" w:cs="仿宋_GB2312"/>
          <w:sz w:val="32"/>
          <w:szCs w:val="32"/>
        </w:rPr>
        <w:t>。德贤学校、桃源学校主体完工，海华实验小学、海华实验中学、海华高中接纳首批学生，新增学位3180个。投资1400万元对28所中小学校舍维修改造。组建义务教育阶段教育集团</w:t>
      </w:r>
      <w:r>
        <w:rPr>
          <w:rFonts w:hint="eastAsia" w:ascii="仿宋_GB2312" w:hAnsi="仿宋_GB2312" w:eastAsia="仿宋_GB2312" w:cs="仿宋_GB2312"/>
          <w:sz w:val="32"/>
          <w:szCs w:val="32"/>
          <w:vertAlign w:val="superscript"/>
        </w:rPr>
        <w:t>④</w:t>
      </w:r>
      <w:r>
        <w:rPr>
          <w:rFonts w:hint="eastAsia" w:ascii="仿宋_GB2312" w:hAnsi="仿宋_GB2312" w:eastAsia="仿宋_GB2312" w:cs="仿宋_GB2312"/>
          <w:sz w:val="32"/>
          <w:szCs w:val="32"/>
        </w:rPr>
        <w:t>27个，成功通过辽宁省首批学前教育普及普惠创优水平评估验收。“双减”工作取得阶段性成效。获评“大连市义务教育管理示范区”称号。中医医院改扩建工程顺利完成。大郑新城医院主体完工。中心医院北院区投入使用，新增床位300张。深入推进药品集中带量采购制度常态化，</w:t>
      </w:r>
      <w:r>
        <w:rPr>
          <w:rFonts w:hint="eastAsia" w:ascii="仿宋_GB2312" w:hAnsi="仿宋" w:eastAsia="仿宋_GB2312"/>
          <w:sz w:val="32"/>
          <w:szCs w:val="32"/>
        </w:rPr>
        <w:t>中选药品价格平均降幅52%</w:t>
      </w:r>
      <w:r>
        <w:rPr>
          <w:rFonts w:hint="eastAsia" w:ascii="仿宋_GB2312" w:hAnsi="仿宋_GB2312" w:eastAsia="仿宋_GB2312" w:cs="仿宋_GB2312"/>
          <w:sz w:val="32"/>
          <w:szCs w:val="32"/>
        </w:rPr>
        <w:t>。32家养老机构与医疗机构全面签约就诊，15家乡镇养老机构实现社会化运营。市民政局荣获“全国农村留守儿童关爱保护和困境儿童保障工作先进集体”称号。</w:t>
      </w:r>
    </w:p>
    <w:p>
      <w:pPr>
        <w:snapToGrid w:val="0"/>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社会治理不断加强。</w:t>
      </w:r>
      <w:r>
        <w:rPr>
          <w:rFonts w:hint="eastAsia" w:ascii="仿宋_GB2312" w:hAnsi="仿宋_GB2312" w:eastAsia="仿宋_GB2312" w:cs="仿宋_GB2312"/>
          <w:sz w:val="32"/>
          <w:szCs w:val="32"/>
        </w:rPr>
        <w:t>圆满完成村（居）委会换届选举。全面清理重复访、越级访，319件信访案件得到有效化解。</w:t>
      </w:r>
      <w:r>
        <w:rPr>
          <w:rFonts w:ascii="Times New Roman" w:hAnsi="Times New Roman" w:eastAsia="仿宋_GB2312"/>
          <w:snapToGrid w:val="0"/>
          <w:sz w:val="32"/>
          <w:szCs w:val="32"/>
        </w:rPr>
        <w:t>大营镇新房村获评“全国民主法治示范村”</w:t>
      </w:r>
      <w:r>
        <w:rPr>
          <w:rFonts w:hint="eastAsia" w:ascii="仿宋_GB2312" w:hAnsi="仿宋_GB2312" w:eastAsia="仿宋_GB2312" w:cs="仿宋_GB2312"/>
          <w:sz w:val="32"/>
          <w:szCs w:val="32"/>
        </w:rPr>
        <w:t>。有效防控金融风险，处置中小银行不良资产2.4亿元。深入开展安全生产三年专项整治和燃气隐患大排查大整治活动，各领域安全生产形势保持稳定。</w:t>
      </w:r>
      <w:r>
        <w:rPr>
          <w:rFonts w:hint="eastAsia" w:ascii="仿宋_GB2312" w:hAnsi="仿宋" w:eastAsia="仿宋_GB2312"/>
          <w:sz w:val="32"/>
        </w:rPr>
        <w:t>全面加强渔船管控和渔业安全生产工作，在册渔船北斗装置安装率达到100%。</w:t>
      </w:r>
      <w:r>
        <w:rPr>
          <w:rFonts w:hint="eastAsia" w:ascii="仿宋_GB2312" w:hAnsi="仿宋_GB2312" w:eastAsia="仿宋_GB2312" w:cs="仿宋_GB2312"/>
          <w:sz w:val="32"/>
          <w:szCs w:val="32"/>
        </w:rPr>
        <w:t>食品药品监测力度不断加大，“舌尖上的安全”得到有效保障。人工影响天气作业在服务农业生产、支持防灾减灾方面发挥重要作用。坚持“命案必破、黑恶必扫、民生必保、电诈必遏”，命案破案率连续7年保持100%,打掉涉黑涉恶团伙3个，破获电信诈骗案件74起，侦破案值2000余万元“特大骗保案”，社会治安环境持续稳定。</w:t>
      </w:r>
    </w:p>
    <w:p>
      <w:pPr>
        <w:snapToGrid w:val="0"/>
        <w:spacing w:line="600" w:lineRule="exact"/>
        <w:ind w:firstLine="643" w:firstLineChars="200"/>
        <w:rPr>
          <w:rFonts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（六）坚持不懈提效能，施政水平不断提升</w:t>
      </w:r>
    </w:p>
    <w:p>
      <w:pPr>
        <w:pStyle w:val="2"/>
        <w:snapToGrid w:val="0"/>
        <w:spacing w:line="60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政治建设不断深化。</w:t>
      </w:r>
      <w:r>
        <w:rPr>
          <w:rFonts w:hint="eastAsia" w:ascii="仿宋_GB2312" w:hAnsi="仿宋_GB2312" w:eastAsia="仿宋_GB2312" w:cs="仿宋_GB2312"/>
          <w:sz w:val="32"/>
          <w:szCs w:val="32"/>
        </w:rPr>
        <w:t>不断强化政府系统党的建设，认真落实市委巡察整改任务。严格落实意识形态工作责任制，做到与重点工作同部署、同落实。深入开展党史学习教育和“四史”宣传教育。紧扣“我为群众办实事、争作贡献促振兴”实践活动，妥善解决闲置楼宇盘活、城郊垃圾清运、供水供暖等民生问题。认真贯彻中央八项规定精神，持续整治形式主义、官僚主义，树立过“紧日子”思想，三公经费持续下降。</w:t>
      </w:r>
    </w:p>
    <w:p>
      <w:pPr>
        <w:pStyle w:val="2"/>
        <w:snapToGrid w:val="0"/>
        <w:spacing w:line="600" w:lineRule="exact"/>
        <w:ind w:firstLine="643"/>
        <w:rPr>
          <w:rFonts w:ascii="Times New Roman" w:hAnsi="Times New Roman" w:eastAsia="仿宋_GB2312"/>
          <w:sz w:val="32"/>
          <w:szCs w:val="32"/>
        </w:rPr>
      </w:pPr>
      <w:r>
        <w:rPr>
          <w:rFonts w:hint="eastAsia" w:ascii="仿宋_GB2312" w:hAnsi="仿宋_GB2312" w:eastAsia="仿宋_GB2312" w:cs="仿宋_GB2312"/>
          <w:b/>
          <w:bCs/>
          <w:sz w:val="32"/>
          <w:szCs w:val="32"/>
        </w:rPr>
        <w:t>营商环境不断优化。</w:t>
      </w:r>
      <w:r>
        <w:rPr>
          <w:rFonts w:hint="eastAsia" w:ascii="仿宋_GB2312" w:hAnsi="仿宋_GB2312" w:eastAsia="仿宋_GB2312" w:cs="仿宋_GB2312"/>
          <w:sz w:val="32"/>
          <w:szCs w:val="32"/>
        </w:rPr>
        <w:t>广泛开展“</w:t>
      </w:r>
      <w:r>
        <w:rPr>
          <w:rFonts w:ascii="Times New Roman" w:hAnsi="Times New Roman" w:eastAsia="仿宋_GB2312"/>
          <w:sz w:val="32"/>
          <w:szCs w:val="32"/>
        </w:rPr>
        <w:t>走企业、解难题”</w:t>
      </w:r>
      <w:r>
        <w:rPr>
          <w:rFonts w:hint="eastAsia" w:ascii="Times New Roman" w:hAnsi="Times New Roman" w:eastAsia="仿宋_GB2312"/>
          <w:sz w:val="32"/>
          <w:szCs w:val="32"/>
        </w:rPr>
        <w:t>活动，有效解决企业困难和诉求</w:t>
      </w:r>
      <w:r>
        <w:rPr>
          <w:rFonts w:hint="eastAsia" w:ascii="仿宋_GB2312" w:hAnsi="仿宋_GB2312" w:eastAsia="仿宋_GB2312" w:cs="仿宋_GB2312"/>
          <w:sz w:val="32"/>
          <w:szCs w:val="32"/>
        </w:rPr>
        <w:t>400</w:t>
      </w:r>
      <w:r>
        <w:rPr>
          <w:rFonts w:hint="eastAsia" w:ascii="Times New Roman" w:hAnsi="Times New Roman" w:eastAsia="仿宋_GB2312"/>
          <w:sz w:val="32"/>
          <w:szCs w:val="32"/>
        </w:rPr>
        <w:t>余件。进一步深化税收征管改革，税务执法</w:t>
      </w:r>
      <w:r>
        <w:rPr>
          <w:rFonts w:ascii="Times New Roman" w:hAnsi="Times New Roman" w:eastAsia="仿宋_GB2312"/>
          <w:sz w:val="32"/>
          <w:szCs w:val="32"/>
        </w:rPr>
        <w:t>、服务、监管能力</w:t>
      </w:r>
      <w:r>
        <w:rPr>
          <w:rFonts w:hint="eastAsia" w:ascii="Times New Roman" w:hAnsi="Times New Roman" w:eastAsia="仿宋_GB2312"/>
          <w:sz w:val="32"/>
          <w:szCs w:val="32"/>
        </w:rPr>
        <w:t>稳步提升。成功举办“</w:t>
      </w:r>
      <w:r>
        <w:rPr>
          <w:rFonts w:ascii="Times New Roman" w:hAnsi="Times New Roman" w:eastAsia="仿宋_GB2312"/>
          <w:sz w:val="32"/>
          <w:szCs w:val="32"/>
        </w:rPr>
        <w:t>搭建政银企合作平台</w:t>
      </w:r>
      <w:r>
        <w:rPr>
          <w:rFonts w:hint="eastAsia" w:ascii="Times New Roman" w:hAnsi="Times New Roman" w:eastAsia="仿宋_GB2312"/>
          <w:sz w:val="32"/>
          <w:szCs w:val="32"/>
        </w:rPr>
        <w:t>，</w:t>
      </w:r>
      <w:r>
        <w:rPr>
          <w:rFonts w:ascii="Times New Roman" w:hAnsi="Times New Roman" w:eastAsia="仿宋_GB2312"/>
          <w:sz w:val="32"/>
          <w:szCs w:val="32"/>
        </w:rPr>
        <w:t>服务庄河高质量发展</w:t>
      </w:r>
      <w:r>
        <w:rPr>
          <w:rFonts w:hint="eastAsia" w:ascii="Times New Roman" w:hAnsi="Times New Roman" w:eastAsia="仿宋_GB2312"/>
          <w:sz w:val="32"/>
          <w:szCs w:val="32"/>
        </w:rPr>
        <w:t>”等</w:t>
      </w:r>
      <w:r>
        <w:rPr>
          <w:rFonts w:ascii="Times New Roman" w:hAnsi="Times New Roman" w:eastAsia="仿宋_GB2312"/>
          <w:sz w:val="32"/>
          <w:szCs w:val="32"/>
        </w:rPr>
        <w:t>政银企对接活动</w:t>
      </w:r>
      <w:r>
        <w:rPr>
          <w:rFonts w:hint="eastAsia" w:ascii="Times New Roman" w:hAnsi="Times New Roman" w:eastAsia="仿宋_GB2312"/>
          <w:sz w:val="32"/>
          <w:szCs w:val="32"/>
        </w:rPr>
        <w:t>，积极</w:t>
      </w:r>
      <w:r>
        <w:rPr>
          <w:rFonts w:ascii="Times New Roman" w:hAnsi="Times New Roman" w:eastAsia="仿宋_GB2312"/>
          <w:sz w:val="32"/>
          <w:szCs w:val="32"/>
        </w:rPr>
        <w:t>为企业营造良好的</w:t>
      </w:r>
      <w:r>
        <w:rPr>
          <w:rFonts w:hint="eastAsia" w:ascii="Times New Roman" w:hAnsi="Times New Roman" w:eastAsia="仿宋_GB2312"/>
          <w:sz w:val="32"/>
          <w:szCs w:val="32"/>
        </w:rPr>
        <w:t>金融生态</w:t>
      </w:r>
      <w:r>
        <w:rPr>
          <w:rFonts w:ascii="Times New Roman" w:hAnsi="Times New Roman" w:eastAsia="仿宋_GB2312"/>
          <w:sz w:val="32"/>
          <w:szCs w:val="32"/>
        </w:rPr>
        <w:t>。</w:t>
      </w:r>
      <w:r>
        <w:rPr>
          <w:rFonts w:hint="eastAsia" w:ascii="Times New Roman" w:hAnsi="Times New Roman" w:eastAsia="仿宋_GB2312"/>
          <w:sz w:val="32"/>
          <w:szCs w:val="32"/>
        </w:rPr>
        <w:t>“放管服”改革持续深化，</w:t>
      </w:r>
      <w:r>
        <w:rPr>
          <w:rFonts w:hint="eastAsia" w:ascii="仿宋_GB2312" w:hAnsi="仿宋_GB2312" w:eastAsia="仿宋_GB2312" w:cs="仿宋_GB2312"/>
          <w:sz w:val="32"/>
          <w:szCs w:val="32"/>
        </w:rPr>
        <w:t>行政审批事项审批时限压缩至法定时限40%以下，企业群众办事提供材料减少60%，12项“多部门联办一件事”上线运行。社保业务、农房转移登记等5项高频事项延伸至乡镇街道办理。工程建设项目审批制度改革步伐加快，基本实现社会投资项目“拿地后百日内开工”。</w:t>
      </w:r>
    </w:p>
    <w:p>
      <w:pPr>
        <w:snapToGrid w:val="0"/>
        <w:spacing w:line="600" w:lineRule="exact"/>
        <w:ind w:firstLine="643" w:firstLineChars="200"/>
      </w:pPr>
      <w:r>
        <w:rPr>
          <w:rFonts w:hint="eastAsia" w:ascii="仿宋_GB2312" w:hAnsi="仿宋_GB2312" w:eastAsia="仿宋_GB2312" w:cs="仿宋_GB2312"/>
          <w:b/>
          <w:bCs/>
          <w:sz w:val="32"/>
          <w:szCs w:val="32"/>
        </w:rPr>
        <w:t>法治建设不断强化。</w:t>
      </w:r>
      <w:r>
        <w:rPr>
          <w:rFonts w:hint="eastAsia" w:ascii="仿宋_GB2312" w:hAnsi="仿宋_GB2312" w:eastAsia="仿宋_GB2312" w:cs="仿宋_GB2312"/>
          <w:sz w:val="32"/>
          <w:szCs w:val="32"/>
        </w:rPr>
        <w:t>认真落实重大事项向市人大报告、向市政协通报制度，坚决执行市人大及其常委会的决议、决定，自觉接受市人大法律监督、工作监督和市政协民主监督。人大代表建议、政协委员提案办复率、满意率均达100%。公共法律服务中心建成投用。坚持推行领导干部出庭应诉，强化行政败诉案件责任追究，干部依法行政意识和能力稳步提高。全面推进政务公开，解决民生热点问题1.8万余件。成功入围“省级法治政府示范市（县）”公示名单。</w:t>
      </w:r>
    </w:p>
    <w:p>
      <w:pPr>
        <w:snapToGrid w:val="0"/>
        <w:spacing w:line="6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（七）众志成城战疫情，处置果断精准有效</w:t>
      </w:r>
    </w:p>
    <w:p>
      <w:pPr>
        <w:pStyle w:val="2"/>
        <w:snapToGrid w:val="0"/>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11·03”疫情发生后，党中央、国务院高度关注，孙春兰副总理多次批示、亲临指导。在省委省政府和大连市委市政府全力支持下，我们坚持人民至上、生命至上，四大班子齐上阵，迅即成立防控前方指挥部，4800名医护人员、1500余名村屯社区干部和1500余名公安干警以及1.3万余名志愿者闻令而动、星夜成军，奋不顾身、直扑一线，构筑起了联防联控的“钢铁长城”。我们果断实施全域封控，精准划定1252个封控区和225个管控区，闭环转运集中隔离14267人，同步完成1125个疫点50万平方米终末消毒任务，完成核酸检测1025万人次。经过共同努力奋战，实现了4天遏制校园疫情蔓延，14天遏制疫情社会面传播，21天内启动城乡中高风险地区有序降级，30天有序复工复产，疫情带来的损失降至最低。在抗疫斗争中，全市人民以自律体现责任，用行动支持抗疫，把一个个家庭、村庄、社区都变成了一个个防控阵地，为打赢疫情防控阻击战、攻坚战提供了坚实保障。经此一役，再次印证，坚强的庄河人民从来不会被磨难所压垮、从来不会为困难所屈服，我们只会愈挫愈勇、愈挫愈强。经过疫情的锤炼，全市广大党员干部在思想上得到大提升、政治上得到大历练、精神上得到大洗礼，</w:t>
      </w:r>
      <w:bookmarkStart w:id="0" w:name="baidusnap0"/>
      <w:bookmarkEnd w:id="0"/>
      <w:r>
        <w:rPr>
          <w:rFonts w:hint="eastAsia" w:ascii="仿宋_GB2312" w:hAnsi="仿宋_GB2312" w:eastAsia="仿宋_GB2312" w:cs="仿宋_GB2312"/>
          <w:sz w:val="32"/>
          <w:szCs w:val="32"/>
        </w:rPr>
        <w:t>给我们留下</w:t>
      </w:r>
      <w:bookmarkStart w:id="1" w:name="baidusnap8"/>
      <w:bookmarkEnd w:id="1"/>
      <w:r>
        <w:rPr>
          <w:rFonts w:hint="eastAsia" w:ascii="仿宋_GB2312" w:hAnsi="仿宋_GB2312" w:eastAsia="仿宋_GB2312" w:cs="仿宋_GB2312"/>
          <w:sz w:val="32"/>
          <w:szCs w:val="32"/>
        </w:rPr>
        <w:t>的宝贵经验和深刻启示，必将激励全市上下在新征程上攻坚克难、奋勇前行。</w:t>
      </w:r>
    </w:p>
    <w:p>
      <w:pPr>
        <w:pStyle w:val="2"/>
        <w:snapToGrid w:val="0"/>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在此，向所有参加疫情防控的广大医护工作者、社区工作者、公安民警、机关干部、人民教师、志愿者，向在疫情防控中积极参与、鼎力相助的人大代表、政协委员和社会各界人士，向全力支持防控工作的全市人民，特别是此时此刻仍奋战在常态化疫情防控一线的工作人员，致以崇高的敬意和衷心的感谢！</w:t>
      </w:r>
    </w:p>
    <w:p>
      <w:pPr>
        <w:pStyle w:val="2"/>
        <w:snapToGrid w:val="0"/>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各位代表，2021年目标任务已完成，本届政府圆满收官。2018年换届以来，市政府深入学习贯彻习近平总书记关于东北、辽宁、大连振兴发展的重要讲话精神，以新发展理念引领高质量发展，统筹推进稳增长、促改革、调结构、惠民生、防风险、保稳定等各项工作，如期全面建成小康社会，庄河面貌发生了可喜的变化，在建党百年这一历史性时刻交上了一份优异答卷。</w:t>
      </w:r>
    </w:p>
    <w:p>
      <w:pPr>
        <w:pStyle w:val="2"/>
        <w:snapToGrid w:val="0"/>
        <w:spacing w:line="600" w:lineRule="exact"/>
        <w:ind w:firstLine="643"/>
        <w:rPr>
          <w:rFonts w:ascii="仿宋_GB2312" w:hAnsi="仿宋_GB2312" w:eastAsia="仿宋_GB2312" w:cs="仿宋_GB2312"/>
          <w:sz w:val="32"/>
          <w:szCs w:val="32"/>
        </w:rPr>
      </w:pPr>
      <w:r>
        <w:rPr>
          <w:rFonts w:hint="eastAsia" w:ascii="楷体_GB2312" w:hAnsi="楷体_GB2312" w:eastAsia="楷体_GB2312" w:cs="楷体_GB2312"/>
          <w:b/>
          <w:bCs/>
          <w:sz w:val="32"/>
          <w:szCs w:val="32"/>
        </w:rPr>
        <w:t>四年来，我们变资源优势为产业优势，坚持创新发展，新兴板块与传统产业齐头并进的发展格局加快形成。</w:t>
      </w:r>
      <w:r>
        <w:rPr>
          <w:rFonts w:hint="eastAsia" w:ascii="仿宋_GB2312" w:hAnsi="仿宋_GB2312" w:eastAsia="仿宋_GB2312" w:cs="仿宋_GB2312"/>
          <w:sz w:val="32"/>
          <w:szCs w:val="32"/>
        </w:rPr>
        <w:t>“三大新兴板块”蓄势崛起。海上风电、抽水蓄能、大学城等一批支撑作用大、带动力强的大项目不断涌现，为培育新动能、加快高质量发展提供了有力保障。积极争创国家全域旅游示范区，“庄河其实不远，那里的空气有点甜”的城市旅游影响力与日俱增。传统产业转型加速。新增设施农业9013亩，</w:t>
      </w:r>
      <w:r>
        <w:rPr>
          <w:rFonts w:hint="eastAsia" w:ascii="仿宋_GB2312" w:hAnsi="仿宋_GB2312" w:eastAsia="仿宋_GB2312" w:cs="仿宋_GB2312"/>
          <w:sz w:val="32"/>
          <w:szCs w:val="32"/>
          <w:shd w:val="clear" w:color="auto" w:fill="FFFFFF"/>
        </w:rPr>
        <w:t>农业机械化率达到81%。新增海洋牧场7.7万亩。</w:t>
      </w:r>
      <w:r>
        <w:rPr>
          <w:rFonts w:hint="eastAsia" w:ascii="仿宋_GB2312" w:hAnsi="仿宋_GB2312" w:eastAsia="仿宋_GB2312" w:cs="仿宋_GB2312"/>
          <w:sz w:val="32"/>
          <w:szCs w:val="32"/>
        </w:rPr>
        <w:t>水产品加工量连续18年位居全省首位。高新技术产业产值占规上工业总产值比重提高13个百分点。</w:t>
      </w:r>
    </w:p>
    <w:p>
      <w:pPr>
        <w:pStyle w:val="2"/>
        <w:snapToGrid w:val="0"/>
        <w:spacing w:line="600" w:lineRule="exact"/>
        <w:ind w:firstLine="643"/>
        <w:rPr>
          <w:rFonts w:ascii="仿宋_GB2312" w:hAnsi="仿宋_GB2312" w:eastAsia="仿宋_GB2312" w:cs="仿宋_GB2312"/>
          <w:sz w:val="32"/>
          <w:szCs w:val="32"/>
        </w:rPr>
      </w:pPr>
      <w:r>
        <w:rPr>
          <w:rFonts w:hint="eastAsia" w:ascii="楷体_GB2312" w:hAnsi="楷体_GB2312" w:eastAsia="楷体_GB2312" w:cs="楷体_GB2312"/>
          <w:b/>
          <w:bCs/>
          <w:sz w:val="32"/>
          <w:szCs w:val="32"/>
        </w:rPr>
        <w:t>四年来，我们“咬”定青山不放松，坚持绿色发展，生态文明建设取得积极成效。</w:t>
      </w:r>
      <w:r>
        <w:rPr>
          <w:rFonts w:hint="eastAsia" w:ascii="仿宋_GB2312" w:hAnsi="仿宋_GB2312" w:eastAsia="仿宋_GB2312" w:cs="仿宋_GB2312"/>
          <w:sz w:val="32"/>
          <w:szCs w:val="32"/>
        </w:rPr>
        <w:t>整治燃煤锅炉48台，年均空气优良天数达340天。张屯和大郑污水处理厂投入运营，完成庄河污水处理厂改造提升，城市污水集中处理率达到93%。全力推行河（库）长制，清理河库垃圾8万立方米，重要水功能区水质达标率100%、近岸海域水质达标率100%，万元GDP用水量下降12.8%。完成营造林11.6万亩，森林覆盖率达到45%。我市“1945模式破解农村垃圾治理难题”经验做法</w:t>
      </w:r>
      <w:r>
        <w:rPr>
          <w:rFonts w:hint="eastAsia" w:ascii="仿宋_GB2312" w:hAnsi="仿宋_GB2312" w:eastAsia="仿宋_GB2312" w:cs="仿宋_GB2312"/>
          <w:sz w:val="32"/>
          <w:szCs w:val="32"/>
          <w:vertAlign w:val="superscript"/>
        </w:rPr>
        <w:t>⑤</w:t>
      </w:r>
      <w:r>
        <w:rPr>
          <w:rFonts w:hint="eastAsia" w:ascii="仿宋_GB2312" w:hAnsi="仿宋_GB2312" w:eastAsia="仿宋_GB2312" w:cs="仿宋_GB2312"/>
          <w:sz w:val="32"/>
          <w:szCs w:val="32"/>
        </w:rPr>
        <w:t>，成为东北地区唯一的第二批全国农村公共服务典型案例。荣获“全国村庄清洁行动先进县”称号。庄河绿水青山的生态本底日益巩固。</w:t>
      </w:r>
    </w:p>
    <w:p>
      <w:pPr>
        <w:pStyle w:val="2"/>
        <w:snapToGrid w:val="0"/>
        <w:spacing w:line="600" w:lineRule="exact"/>
        <w:ind w:firstLine="643"/>
        <w:rPr>
          <w:rFonts w:ascii="仿宋_GB2312" w:hAnsi="仿宋_GB2312" w:eastAsia="仿宋_GB2312" w:cs="仿宋_GB2312"/>
          <w:b/>
          <w:bCs/>
          <w:sz w:val="32"/>
          <w:szCs w:val="32"/>
        </w:rPr>
      </w:pPr>
      <w:r>
        <w:rPr>
          <w:rFonts w:hint="eastAsia" w:ascii="楷体_GB2312" w:hAnsi="楷体_GB2312" w:eastAsia="楷体_GB2312" w:cs="楷体_GB2312"/>
          <w:b/>
          <w:bCs/>
          <w:sz w:val="32"/>
          <w:szCs w:val="32"/>
        </w:rPr>
        <w:t>四年来，我们注重建设城市、赋能乡村，坚持协调发展，城乡空间布局、功能形态持续优化。</w:t>
      </w:r>
      <w:r>
        <w:rPr>
          <w:rFonts w:hint="eastAsia" w:ascii="仿宋_GB2312" w:hAnsi="仿宋_GB2312" w:eastAsia="仿宋_GB2312" w:cs="仿宋_GB2312"/>
          <w:sz w:val="32"/>
          <w:szCs w:val="32"/>
        </w:rPr>
        <w:t>成功创建“国家卫生城市”。借力海绵城市建设加速推进城市转型升级，生态宜居庄河美上加美。新建城市道路94公里，打通“断头路”17条，“九纵九横两环”的路网格局开拓了“东扩西进南拓”的城市发展空间。黄海广场、万达广场商圈两翼齐飞差异化发展，便民市场遍布城市社区。庄岫铁路建成通车。城乡电网建设投入达10.3亿元。新增农村供水人口12.1万人。无害化卫生厕所普及率达93%。农村公路总里程达3582公里，硬化农村道路342万平方米，获评“四好农村路”全国示范县称号。</w:t>
      </w:r>
    </w:p>
    <w:p>
      <w:pPr>
        <w:snapToGrid w:val="0"/>
        <w:spacing w:line="600" w:lineRule="exact"/>
        <w:ind w:firstLine="643" w:firstLineChars="200"/>
      </w:pPr>
      <w:r>
        <w:rPr>
          <w:rFonts w:hint="eastAsia" w:ascii="楷体_GB2312" w:hAnsi="楷体_GB2312" w:eastAsia="楷体_GB2312" w:cs="楷体_GB2312"/>
          <w:b/>
          <w:bCs/>
          <w:sz w:val="32"/>
          <w:szCs w:val="32"/>
        </w:rPr>
        <w:t>四年来，我们纵深推进体制机制改革，坚持开放发展，经济发展动力和活力不断增强。</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放管服”改革成效明显，信用体系建设步伐持续加快，政务服务好评率达到99.62%。“五大领域”</w:t>
      </w:r>
      <w:r>
        <w:rPr>
          <w:rFonts w:hint="eastAsia" w:ascii="仿宋_GB2312" w:hAnsi="仿宋_GB2312" w:eastAsia="仿宋_GB2312" w:cs="仿宋_GB2312"/>
          <w:sz w:val="32"/>
          <w:szCs w:val="32"/>
          <w:vertAlign w:val="superscript"/>
        </w:rPr>
        <w:t>⑥</w:t>
      </w:r>
      <w:r>
        <w:rPr>
          <w:rFonts w:hint="eastAsia" w:ascii="仿宋_GB2312" w:hAnsi="仿宋_GB2312" w:eastAsia="仿宋_GB2312" w:cs="仿宋_GB2312"/>
          <w:sz w:val="32"/>
          <w:szCs w:val="32"/>
        </w:rPr>
        <w:t>等重点改革有效推进。市场主体总量达到6.7万户，较2017年增长70%。庄河港202-204#泊位对外开放通过专家验收，港区功能日趋完善。面向京津冀、长三角、珠三角等重点区域，开展“走出去”招商活动271次，累计使用内资180亿元、外资7829万美元。中英先进制造产业示范园、中日地方合作示范区花园口片区建设稳步推进，对外开放平台建设和带动效应持续扩大。</w:t>
      </w:r>
    </w:p>
    <w:p>
      <w:pPr>
        <w:pStyle w:val="2"/>
        <w:snapToGrid w:val="0"/>
        <w:spacing w:line="600" w:lineRule="exact"/>
        <w:ind w:firstLine="643"/>
        <w:rPr>
          <w:rFonts w:ascii="仿宋_GB2312" w:hAnsi="仿宋_GB2312" w:eastAsia="仿宋_GB2312" w:cs="仿宋_GB2312"/>
          <w:sz w:val="32"/>
          <w:szCs w:val="32"/>
        </w:rPr>
      </w:pPr>
      <w:r>
        <w:rPr>
          <w:rFonts w:hint="eastAsia" w:ascii="楷体_GB2312" w:hAnsi="楷体_GB2312" w:eastAsia="楷体_GB2312" w:cs="楷体_GB2312"/>
          <w:b/>
          <w:bCs/>
          <w:sz w:val="32"/>
          <w:szCs w:val="32"/>
        </w:rPr>
        <w:t>四年来，我们坚持以人民为中心的发展思想，坚持共享发展，民生和各项社会事业全面进步</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55个低收入村全部按期脱贫退出。82个集体经济“空壳”村全部“脱壳”。城镇登记失业率控制在3.5%以内。财政性教育经费支出达34.7亿元，教育公平得到有效保障。医养供给能力显著增强，每千人拥有执业医师2.57人。基本养老保险参保率达97.5%。全市人均期望寿命达81.09周岁。投资1.5亿元建成文化健身广场223个，公益性文体服务场所全部免费开放。完成农村危房改造875户、棚户区动迁2418户。</w:t>
      </w:r>
      <w:r>
        <w:rPr>
          <w:rFonts w:hint="eastAsia" w:ascii="仿宋_GB2312" w:hAnsi="仿宋_GB2312" w:eastAsia="仿宋_GB2312" w:cs="仿宋_GB2312"/>
          <w:bCs/>
          <w:sz w:val="32"/>
          <w:szCs w:val="32"/>
        </w:rPr>
        <w:t>全市安全生产和治安形势持续稳定向好。</w:t>
      </w:r>
      <w:r>
        <w:rPr>
          <w:rFonts w:hint="eastAsia" w:ascii="仿宋_GB2312" w:hAnsi="仿宋_GB2312" w:eastAsia="仿宋_GB2312" w:cs="仿宋_GB2312"/>
          <w:sz w:val="32"/>
          <w:szCs w:val="32"/>
        </w:rPr>
        <w:t>人民群众的获得感、幸福感、安全感显著提升。</w:t>
      </w:r>
    </w:p>
    <w:p>
      <w:pPr>
        <w:pStyle w:val="2"/>
        <w:snapToGrid w:val="0"/>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民族宗教、外事、人防、供销、档案、气象、供电、通信、双拥、海关、边检、消防、仲裁、残疾事业、广播电视、民兵预备役和边海防等各项工作均取得长足进步。</w:t>
      </w:r>
    </w:p>
    <w:p>
      <w:pPr>
        <w:pStyle w:val="2"/>
        <w:snapToGrid w:val="0"/>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各位代表！成绩的取得来之不易，这是习近平新时代中国特色社会主义思想科学指引的结果，是中共庄河市委带领全市上下万众一心、拼搏奋斗的结果，是市人大、市政协大力支持、有效监督的结果，这其中饱含了各位代表、各位委员的智慧和力量，凝聚了全市人民的心血和汗水。在此，</w:t>
      </w:r>
      <w:r>
        <w:rPr>
          <w:rFonts w:ascii="仿宋_GB2312" w:hAnsi="仿宋_GB2312" w:eastAsia="仿宋_GB2312" w:cs="仿宋_GB2312"/>
          <w:sz w:val="32"/>
          <w:szCs w:val="32"/>
        </w:rPr>
        <w:t>向全市广大干部群众，向人大代表、政协委员，向各民主党派、工商联、无党派人士和人民团体，向驻</w:t>
      </w:r>
      <w:r>
        <w:rPr>
          <w:rFonts w:hint="eastAsia" w:ascii="仿宋_GB2312" w:hAnsi="仿宋_GB2312" w:eastAsia="仿宋_GB2312" w:cs="仿宋_GB2312"/>
          <w:sz w:val="32"/>
          <w:szCs w:val="32"/>
        </w:rPr>
        <w:t>庄</w:t>
      </w:r>
      <w:r>
        <w:rPr>
          <w:rFonts w:ascii="仿宋_GB2312" w:hAnsi="仿宋_GB2312" w:eastAsia="仿宋_GB2312" w:cs="仿宋_GB2312"/>
          <w:sz w:val="32"/>
          <w:szCs w:val="32"/>
        </w:rPr>
        <w:t>部队官兵以及中央、省</w:t>
      </w:r>
      <w:r>
        <w:rPr>
          <w:rFonts w:hint="eastAsia" w:ascii="仿宋_GB2312" w:hAnsi="仿宋_GB2312" w:eastAsia="仿宋_GB2312" w:cs="仿宋_GB2312"/>
          <w:sz w:val="32"/>
          <w:szCs w:val="32"/>
        </w:rPr>
        <w:t>和大连市</w:t>
      </w:r>
      <w:r>
        <w:rPr>
          <w:rFonts w:ascii="仿宋_GB2312" w:hAnsi="仿宋_GB2312" w:eastAsia="仿宋_GB2312" w:cs="仿宋_GB2312"/>
          <w:sz w:val="32"/>
          <w:szCs w:val="32"/>
        </w:rPr>
        <w:t>驻</w:t>
      </w:r>
      <w:r>
        <w:rPr>
          <w:rFonts w:hint="eastAsia" w:ascii="仿宋_GB2312" w:hAnsi="仿宋_GB2312" w:eastAsia="仿宋_GB2312" w:cs="仿宋_GB2312"/>
          <w:sz w:val="32"/>
          <w:szCs w:val="32"/>
        </w:rPr>
        <w:t>庄</w:t>
      </w:r>
      <w:r>
        <w:rPr>
          <w:rFonts w:ascii="仿宋_GB2312" w:hAnsi="仿宋_GB2312" w:eastAsia="仿宋_GB2312" w:cs="仿宋_GB2312"/>
          <w:sz w:val="32"/>
          <w:szCs w:val="32"/>
        </w:rPr>
        <w:t>单位，向所有关心支持</w:t>
      </w:r>
      <w:r>
        <w:rPr>
          <w:rFonts w:hint="eastAsia" w:ascii="仿宋_GB2312" w:hAnsi="仿宋_GB2312" w:eastAsia="仿宋_GB2312" w:cs="仿宋_GB2312"/>
          <w:sz w:val="32"/>
          <w:szCs w:val="32"/>
        </w:rPr>
        <w:t>庄河经济建设和社会发展</w:t>
      </w:r>
      <w:r>
        <w:rPr>
          <w:rFonts w:ascii="仿宋_GB2312" w:hAnsi="仿宋_GB2312" w:eastAsia="仿宋_GB2312" w:cs="仿宋_GB2312"/>
          <w:sz w:val="32"/>
          <w:szCs w:val="32"/>
        </w:rPr>
        <w:t>的各界人士，</w:t>
      </w:r>
      <w:r>
        <w:rPr>
          <w:rFonts w:hint="eastAsia" w:ascii="仿宋_GB2312" w:hAnsi="仿宋_GB2312" w:eastAsia="仿宋_GB2312" w:cs="仿宋_GB2312"/>
          <w:sz w:val="32"/>
          <w:szCs w:val="32"/>
        </w:rPr>
        <w:t>致以崇高的敬意和</w:t>
      </w:r>
      <w:r>
        <w:rPr>
          <w:rFonts w:ascii="仿宋_GB2312" w:hAnsi="仿宋_GB2312" w:eastAsia="仿宋_GB2312" w:cs="仿宋_GB2312"/>
          <w:sz w:val="32"/>
          <w:szCs w:val="32"/>
        </w:rPr>
        <w:t>衷心的感谢!</w:t>
      </w:r>
    </w:p>
    <w:p>
      <w:pPr>
        <w:pStyle w:val="2"/>
        <w:snapToGrid w:val="0"/>
        <w:spacing w:line="60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回顾2018年以来的工作，我们深刻体会到，把庄河的事业推向前进：必须把坚持党的领导作为根本遵循，</w:t>
      </w:r>
      <w:r>
        <w:rPr>
          <w:rFonts w:hint="eastAsia" w:ascii="仿宋_GB2312" w:hAnsi="仿宋_GB2312" w:eastAsia="仿宋_GB2312" w:cs="仿宋_GB2312"/>
          <w:sz w:val="32"/>
          <w:szCs w:val="32"/>
        </w:rPr>
        <w:t>坚决维护以习近平同志为核心的党中央权威和集中统一领导，不折不扣、坚决有力贯彻落实上级党委、政府和市委的各项决策部署。</w:t>
      </w:r>
      <w:r>
        <w:rPr>
          <w:rFonts w:hint="eastAsia" w:ascii="仿宋_GB2312" w:hAnsi="仿宋_GB2312" w:eastAsia="仿宋_GB2312" w:cs="仿宋_GB2312"/>
          <w:b/>
          <w:bCs/>
          <w:sz w:val="32"/>
          <w:szCs w:val="32"/>
        </w:rPr>
        <w:t>必须把新发展理念作为行动指南，</w:t>
      </w:r>
      <w:r>
        <w:rPr>
          <w:rFonts w:hint="eastAsia" w:ascii="仿宋_GB2312" w:hAnsi="仿宋_GB2312" w:eastAsia="仿宋_GB2312" w:cs="仿宋_GB2312"/>
          <w:sz w:val="32"/>
          <w:szCs w:val="32"/>
        </w:rPr>
        <w:t>打破惯性思维、摒弃“速度情结”、去“虚”存“实”，在审视现状中正视挑战、挖掘优势，在谋划发展中扬长避短、盘活资源，以新理念引领新发展。</w:t>
      </w:r>
      <w:r>
        <w:rPr>
          <w:rFonts w:hint="eastAsia" w:ascii="仿宋_GB2312" w:hAnsi="仿宋_GB2312" w:eastAsia="仿宋_GB2312" w:cs="仿宋_GB2312"/>
          <w:b/>
          <w:bCs/>
          <w:sz w:val="32"/>
          <w:szCs w:val="32"/>
        </w:rPr>
        <w:t>必须把生态安全作为必保底线，</w:t>
      </w:r>
      <w:r>
        <w:rPr>
          <w:rFonts w:hint="eastAsia" w:ascii="仿宋_GB2312" w:hAnsi="仿宋_GB2312" w:eastAsia="仿宋_GB2312" w:cs="仿宋_GB2312"/>
          <w:sz w:val="32"/>
          <w:szCs w:val="32"/>
        </w:rPr>
        <w:t>以对人民群众、</w:t>
      </w:r>
      <w:bookmarkStart w:id="2" w:name="baidusnap5"/>
      <w:bookmarkEnd w:id="2"/>
      <w:r>
        <w:rPr>
          <w:rFonts w:hint="eastAsia" w:ascii="仿宋_GB2312" w:hAnsi="仿宋_GB2312" w:eastAsia="仿宋_GB2312" w:cs="仿宋_GB2312"/>
          <w:sz w:val="32"/>
          <w:szCs w:val="32"/>
        </w:rPr>
        <w:t>对子孙后代高度负责的态度，将生态文明建设融入经济社会发展全过程，厚植绿色底蕴，守好金山银山。</w:t>
      </w:r>
      <w:r>
        <w:rPr>
          <w:rFonts w:hint="eastAsia" w:ascii="仿宋_GB2312" w:hAnsi="仿宋_GB2312" w:eastAsia="仿宋_GB2312" w:cs="仿宋_GB2312"/>
          <w:b/>
          <w:bCs/>
          <w:sz w:val="32"/>
          <w:szCs w:val="32"/>
        </w:rPr>
        <w:t>必须把改革创新作为核心动力，</w:t>
      </w:r>
      <w:r>
        <w:rPr>
          <w:rFonts w:hint="eastAsia" w:ascii="仿宋_GB2312" w:hAnsi="仿宋_GB2312" w:eastAsia="仿宋_GB2312" w:cs="仿宋_GB2312"/>
          <w:sz w:val="32"/>
          <w:szCs w:val="32"/>
        </w:rPr>
        <w:t>坚持解放思想、实事求是，通过改革除积弊、闯新路，依靠改革应变局、开新局，把创造活力激发出来，把发展潜能释放出来，为经济社会发展不断注入澎湃动力。</w:t>
      </w:r>
      <w:r>
        <w:rPr>
          <w:rFonts w:hint="eastAsia" w:ascii="仿宋_GB2312" w:hAnsi="仿宋_GB2312" w:eastAsia="仿宋_GB2312" w:cs="仿宋_GB2312"/>
          <w:b/>
          <w:bCs/>
          <w:sz w:val="32"/>
          <w:szCs w:val="32"/>
        </w:rPr>
        <w:t>必须把人民满意作为不懈追求，</w:t>
      </w:r>
      <w:r>
        <w:rPr>
          <w:rFonts w:hint="eastAsia" w:ascii="仿宋_GB2312" w:hAnsi="仿宋_GB2312" w:eastAsia="仿宋_GB2312" w:cs="仿宋_GB2312"/>
          <w:sz w:val="32"/>
          <w:szCs w:val="32"/>
        </w:rPr>
        <w:t>从最困难的群体入手，从最突出的问题着眼，从最具体的工作抓起，积极回应人民群众对美好生活的向往，用心用情用力抓好民生工作，不断提升人民群众幸福指数。</w:t>
      </w:r>
      <w:r>
        <w:rPr>
          <w:rFonts w:hint="eastAsia" w:ascii="仿宋_GB2312" w:hAnsi="仿宋_GB2312" w:eastAsia="仿宋_GB2312" w:cs="仿宋_GB2312"/>
          <w:b/>
          <w:bCs/>
          <w:sz w:val="32"/>
          <w:szCs w:val="32"/>
        </w:rPr>
        <w:t>必须把真抓实干作为制胜法宝，</w:t>
      </w:r>
      <w:r>
        <w:rPr>
          <w:rFonts w:hint="eastAsia" w:ascii="仿宋_GB2312" w:hAnsi="仿宋_GB2312" w:eastAsia="仿宋_GB2312" w:cs="仿宋_GB2312"/>
          <w:sz w:val="32"/>
          <w:szCs w:val="32"/>
        </w:rPr>
        <w:t>坚持一张“蓝图”绘到底，干字当头不空谈、实字为先不折腾，做到思路实、举措实、工作实、成效实，以“钉钉子”精神，确保各项工作落实到位、取得实效。</w:t>
      </w:r>
    </w:p>
    <w:p>
      <w:pPr>
        <w:pStyle w:val="2"/>
        <w:snapToGrid w:val="0"/>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在总结成绩的同时，也要清醒看到我市发展面临的矛盾和问题。</w:t>
      </w:r>
      <w:r>
        <w:rPr>
          <w:rFonts w:hint="eastAsia" w:ascii="仿宋_GB2312" w:hAnsi="仿宋_GB2312" w:eastAsia="仿宋_GB2312" w:cs="仿宋_GB2312"/>
          <w:b/>
          <w:bCs/>
          <w:sz w:val="32"/>
          <w:szCs w:val="32"/>
        </w:rPr>
        <w:t>一是推动新旧动能转换的动力和能力有待提升，</w:t>
      </w:r>
      <w:r>
        <w:rPr>
          <w:rFonts w:hint="eastAsia" w:ascii="仿宋_GB2312" w:hAnsi="仿宋_GB2312" w:eastAsia="仿宋_GB2312" w:cs="仿宋_GB2312"/>
          <w:sz w:val="32"/>
          <w:szCs w:val="32"/>
        </w:rPr>
        <w:t>新兴板块的牵动支撑作用不均衡，产业结构调整“三篇大文章”</w:t>
      </w:r>
      <w:r>
        <w:rPr>
          <w:rFonts w:hint="eastAsia" w:ascii="仿宋_GB2312" w:hAnsi="仿宋_GB2312" w:eastAsia="仿宋_GB2312" w:cs="仿宋_GB2312"/>
          <w:sz w:val="32"/>
          <w:szCs w:val="32"/>
          <w:vertAlign w:val="superscript"/>
        </w:rPr>
        <w:t>⑦</w:t>
      </w:r>
      <w:r>
        <w:rPr>
          <w:rFonts w:hint="eastAsia" w:ascii="仿宋_GB2312" w:hAnsi="仿宋_GB2312" w:eastAsia="仿宋_GB2312" w:cs="仿宋_GB2312"/>
          <w:sz w:val="32"/>
          <w:szCs w:val="32"/>
        </w:rPr>
        <w:t>仍需持续发力。</w:t>
      </w:r>
      <w:r>
        <w:rPr>
          <w:rFonts w:hint="eastAsia" w:ascii="仿宋_GB2312" w:hAnsi="仿宋_GB2312" w:eastAsia="仿宋_GB2312" w:cs="仿宋_GB2312"/>
          <w:b/>
          <w:bCs/>
          <w:sz w:val="32"/>
          <w:szCs w:val="32"/>
        </w:rPr>
        <w:t>二是振兴发展的体制机制还存在短板，</w:t>
      </w:r>
      <w:r>
        <w:rPr>
          <w:rFonts w:hint="eastAsia" w:ascii="仿宋_GB2312" w:hAnsi="仿宋_GB2312" w:eastAsia="仿宋_GB2312" w:cs="仿宋_GB2312"/>
          <w:sz w:val="32"/>
          <w:szCs w:val="32"/>
        </w:rPr>
        <w:t>营商环境还需进一步改善，助推市场主体培育发展壮大的举措还不够多、不够实。</w:t>
      </w:r>
      <w:r>
        <w:rPr>
          <w:rFonts w:hint="eastAsia" w:ascii="仿宋_GB2312" w:hAnsi="仿宋_GB2312" w:eastAsia="仿宋_GB2312" w:cs="仿宋_GB2312"/>
          <w:b/>
          <w:bCs/>
          <w:sz w:val="32"/>
          <w:szCs w:val="32"/>
        </w:rPr>
        <w:t>三是财政收支矛盾比较突出，</w:t>
      </w:r>
      <w:r>
        <w:rPr>
          <w:rFonts w:hint="eastAsia" w:ascii="仿宋_GB2312" w:hAnsi="仿宋_GB2312" w:eastAsia="仿宋_GB2312" w:cs="仿宋_GB2312"/>
          <w:sz w:val="32"/>
          <w:szCs w:val="32"/>
        </w:rPr>
        <w:t>政府偿债压力较大，公共服务和民生领域与群众美好生活向往还有不小差距。</w:t>
      </w:r>
      <w:r>
        <w:rPr>
          <w:rFonts w:hint="eastAsia" w:ascii="仿宋_GB2312" w:hAnsi="仿宋_GB2312" w:eastAsia="仿宋_GB2312" w:cs="仿宋_GB2312"/>
          <w:b/>
          <w:bCs/>
          <w:sz w:val="32"/>
          <w:szCs w:val="32"/>
        </w:rPr>
        <w:t>四是干部作风不够扎实、责任意识不强，</w:t>
      </w:r>
      <w:r>
        <w:rPr>
          <w:rFonts w:hint="eastAsia" w:ascii="仿宋_GB2312" w:hAnsi="仿宋_GB2312" w:eastAsia="仿宋_GB2312" w:cs="仿宋_GB2312"/>
          <w:sz w:val="32"/>
          <w:szCs w:val="32"/>
        </w:rPr>
        <w:t>个别部门人员严重失职失责，进而引发重大疫情扩散事件，教训沉痛，必须深刻反思。对于这些问题，我们将高度重视，采取有效措施，认真加以解决。</w:t>
      </w:r>
    </w:p>
    <w:p>
      <w:pPr>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二、今后五年主要目标任务</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今后五年，是我国开启全面建设社会主义现代化新征程的第一个五年，也是辽宁、大连全面振兴全方位振兴，庄河高质量发展极为关键的五年。我们必须胸怀“两个大局”</w:t>
      </w:r>
      <w:r>
        <w:rPr>
          <w:rFonts w:hint="eastAsia" w:ascii="仿宋_GB2312" w:hAnsi="仿宋_GB2312" w:eastAsia="仿宋_GB2312" w:cs="仿宋_GB2312"/>
          <w:sz w:val="32"/>
          <w:szCs w:val="32"/>
          <w:vertAlign w:val="superscript"/>
        </w:rPr>
        <w:t>⑧</w:t>
      </w:r>
      <w:r>
        <w:rPr>
          <w:rFonts w:hint="eastAsia" w:ascii="仿宋_GB2312" w:hAnsi="仿宋_GB2312" w:eastAsia="仿宋_GB2312" w:cs="仿宋_GB2312"/>
          <w:sz w:val="32"/>
          <w:szCs w:val="32"/>
        </w:rPr>
        <w:t>，心系“国之大者”</w:t>
      </w:r>
      <w:r>
        <w:rPr>
          <w:rFonts w:hint="eastAsia" w:ascii="仿宋_GB2312" w:hAnsi="仿宋_GB2312" w:eastAsia="仿宋_GB2312" w:cs="仿宋_GB2312"/>
          <w:sz w:val="32"/>
          <w:szCs w:val="32"/>
          <w:vertAlign w:val="superscript"/>
        </w:rPr>
        <w:t>⑨</w:t>
      </w:r>
      <w:r>
        <w:rPr>
          <w:rFonts w:hint="eastAsia" w:ascii="仿宋_GB2312" w:hAnsi="仿宋_GB2312" w:eastAsia="仿宋_GB2312" w:cs="仿宋_GB2312"/>
          <w:sz w:val="32"/>
          <w:szCs w:val="32"/>
        </w:rPr>
        <w:t>，全力融入到辽宁沿海经济带高质量发展的大板块和“一圈一带两区”</w:t>
      </w:r>
      <w:r>
        <w:rPr>
          <w:rFonts w:hint="eastAsia" w:ascii="仿宋_GB2312" w:hAnsi="仿宋_GB2312" w:eastAsia="仿宋_GB2312" w:cs="仿宋_GB2312"/>
          <w:sz w:val="32"/>
          <w:szCs w:val="32"/>
          <w:vertAlign w:val="superscript"/>
        </w:rPr>
        <w:t>⑩</w:t>
      </w:r>
      <w:r>
        <w:rPr>
          <w:rFonts w:hint="eastAsia" w:ascii="仿宋_GB2312" w:hAnsi="仿宋_GB2312" w:eastAsia="仿宋_GB2312" w:cs="仿宋_GB2312"/>
          <w:sz w:val="32"/>
          <w:szCs w:val="32"/>
        </w:rPr>
        <w:t>区域发展的新格局之中，紧紧围绕大连市第十三次党代会明确的奋力实现“十个新突破”</w:t>
      </w:r>
      <w:r>
        <w:rPr>
          <w:rFonts w:hint="eastAsia" w:ascii="仿宋_GB2312" w:hAnsi="仿宋_GB2312" w:eastAsia="仿宋_GB2312" w:cs="仿宋_GB2312"/>
          <w:sz w:val="24"/>
          <w:szCs w:val="24"/>
          <w:vertAlign w:val="superscript"/>
        </w:rPr>
        <w:t>⑪</w:t>
      </w:r>
      <w:r>
        <w:rPr>
          <w:rFonts w:hint="eastAsia" w:ascii="仿宋_GB2312" w:hAnsi="仿宋_GB2312" w:eastAsia="仿宋_GB2312" w:cs="仿宋_GB2312"/>
          <w:sz w:val="32"/>
          <w:szCs w:val="32"/>
        </w:rPr>
        <w:t>、三年推进“万亿GDP城市”目标任务，找准切入点、聚焦突破口，顺势而为、乘势而上，抢先机、打头阵、挑大梁。</w:t>
      </w:r>
    </w:p>
    <w:p>
      <w:pPr>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今后五年政府工作的指导思想是：</w:t>
      </w:r>
      <w:r>
        <w:rPr>
          <w:rFonts w:hint="eastAsia" w:ascii="仿宋_GB2312" w:hAnsi="仿宋_GB2312" w:eastAsia="仿宋_GB2312" w:cs="仿宋_GB2312"/>
          <w:sz w:val="32"/>
          <w:szCs w:val="32"/>
        </w:rPr>
        <w:t>高举习近平新时代中国特色社会主义思想伟大旗帜，深入贯彻党的十九大和十九届历次全会精神，全面落实习近平总书记关于东北、辽宁、大连振兴发展的重要讲话和指示批示精神，坚持稳中求进工作总基调，立足新发展阶段，完整、准确、全面贯彻新发展理念，服务和融入新发展格局，以推进高质量发展为主题，以深化供给侧结构性改革为主线，以改革开放创新为根本动力，以满足人民日益增长的美好生活需求为根本目的，深入实施生态立市、人才兴市、产业强市、港口牵动、惠企富民发展战略，全力打造大连绿色经济示范样板区，</w:t>
      </w:r>
      <w:r>
        <w:rPr>
          <w:rFonts w:hint="eastAsia" w:ascii="仿宋_GB2312" w:eastAsia="仿宋_GB2312"/>
          <w:sz w:val="32"/>
          <w:szCs w:val="32"/>
        </w:rPr>
        <w:t>奋力开创庄河高质量发展新局面</w:t>
      </w:r>
      <w:r>
        <w:rPr>
          <w:rFonts w:hint="eastAsia" w:ascii="仿宋_GB2312" w:hAnsi="仿宋_GB2312" w:eastAsia="仿宋_GB2312" w:cs="仿宋_GB2312"/>
          <w:sz w:val="32"/>
          <w:szCs w:val="32"/>
        </w:rPr>
        <w:t>。为此，新一届政府将朝着以下目标不懈努力：</w:t>
      </w:r>
    </w:p>
    <w:p>
      <w:pPr>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发展质量效益显著提升。</w:t>
      </w:r>
      <w:r>
        <w:rPr>
          <w:rFonts w:hint="eastAsia" w:ascii="仿宋_GB2312" w:hAnsi="仿宋_GB2312" w:eastAsia="仿宋_GB2312" w:cs="仿宋_GB2312"/>
          <w:sz w:val="32"/>
          <w:szCs w:val="32"/>
        </w:rPr>
        <w:t>地区生产总值年均增长6.5%左右，一般公共预算收入年均可比增长5%以上，固定资产投资年均增长6%左右，社会消费品零售总额年均增长7%以上，城乡居民人均可支配收入保持与经济发展同步。三新板块成为引领经济发展的重要引擎，装备制造、木材家具、食品加工等传统产业发展质量和竞争力显著提高，生态文明建设指标处于省内领先地位。</w:t>
      </w:r>
    </w:p>
    <w:p>
      <w:pPr>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体制机制更加便捷顺畅。</w:t>
      </w:r>
      <w:r>
        <w:rPr>
          <w:rFonts w:hint="eastAsia" w:ascii="仿宋_GB2312" w:hAnsi="仿宋_GB2312" w:eastAsia="仿宋_GB2312" w:cs="仿宋_GB2312"/>
          <w:sz w:val="32"/>
          <w:szCs w:val="32"/>
        </w:rPr>
        <w:t>以制度创新为主要抓手，着力构筑高质量发展的内生动力机制。转变政府职能，改善制度供给，释放制度红利，激发市场活力。积极探索重大创新平台建设，推动科技金融结合，促进科技成果转化。创优人才引进、服务体系，加快形成以创新和人才为引领的经济体系和发展模式。</w:t>
      </w:r>
    </w:p>
    <w:p>
      <w:pPr>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区域经济合作拓展深化。</w:t>
      </w:r>
      <w:r>
        <w:rPr>
          <w:rFonts w:hint="eastAsia" w:ascii="仿宋_GB2312" w:hAnsi="仿宋_GB2312" w:eastAsia="仿宋_GB2312" w:cs="仿宋_GB2312"/>
          <w:sz w:val="32"/>
          <w:szCs w:val="32"/>
        </w:rPr>
        <w:t>立足国内大循环、促进双循环</w:t>
      </w:r>
      <w:r>
        <w:rPr>
          <w:rFonts w:hint="eastAsia" w:ascii="仿宋_GB2312" w:hAnsi="仿宋_GB2312" w:eastAsia="仿宋_GB2312" w:cs="仿宋_GB2312"/>
          <w:sz w:val="24"/>
          <w:szCs w:val="24"/>
          <w:vertAlign w:val="superscript"/>
        </w:rPr>
        <w:t>⑫</w:t>
      </w:r>
      <w:r>
        <w:rPr>
          <w:rFonts w:hint="eastAsia" w:ascii="仿宋_GB2312" w:hAnsi="仿宋_GB2312" w:eastAsia="仿宋_GB2312" w:cs="仿宋_GB2312"/>
          <w:sz w:val="32"/>
          <w:szCs w:val="32"/>
        </w:rPr>
        <w:t>，抢抓《辽宁沿海经济带高质量发展规划》“黄海翼”</w:t>
      </w:r>
      <w:r>
        <w:rPr>
          <w:rFonts w:hint="eastAsia" w:ascii="仿宋_GB2312" w:hAnsi="仿宋_GB2312" w:eastAsia="仿宋_GB2312" w:cs="仿宋_GB2312"/>
          <w:sz w:val="24"/>
          <w:szCs w:val="24"/>
          <w:vertAlign w:val="superscript"/>
        </w:rPr>
        <w:t>⑬</w:t>
      </w:r>
      <w:r>
        <w:rPr>
          <w:rFonts w:hint="eastAsia" w:ascii="仿宋_GB2312" w:hAnsi="仿宋_GB2312" w:eastAsia="仿宋_GB2312" w:cs="仿宋_GB2312"/>
          <w:sz w:val="32"/>
          <w:szCs w:val="32"/>
        </w:rPr>
        <w:t>协同发展机遇，积极争取海庄铁路提标改造，庄营高铁以及庄岫辽、庄瓦高速公路工程纳入上级建设规划，加快融入沈阳乃至京津冀经济圈。以北黄海经开区为平台，积极探索新形势下对外合作新模式。全力打造办事方便、法治良好、成本竞争力强、生态宜居的营商环境，更好地服务和融入国家区域发展战略。</w:t>
      </w:r>
    </w:p>
    <w:p>
      <w:pPr>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乡村振兴发展明显跃升。</w:t>
      </w:r>
      <w:r>
        <w:rPr>
          <w:rFonts w:hint="eastAsia" w:ascii="仿宋_GB2312" w:hAnsi="仿宋_GB2312" w:eastAsia="仿宋_GB2312" w:cs="仿宋_GB2312"/>
          <w:sz w:val="32"/>
          <w:szCs w:val="32"/>
        </w:rPr>
        <w:t>协调推进新型城镇化与乡村振兴全面对接，推动城乡交通、供水、电网、通信、燃气等基础设施同规并网。深入推进农村集体产权制度改革，巩固壮大农村集体经济。强化农业农村优先发展，土地出让收益优先用于农业农村建设。以数字化引领农业、渔业现代化，助推一二三产融合发展。实施“十个一”工程</w:t>
      </w:r>
      <w:r>
        <w:rPr>
          <w:rFonts w:hint="eastAsia" w:ascii="仿宋_GB2312" w:hAnsi="仿宋_GB2312" w:eastAsia="仿宋_GB2312" w:cs="仿宋_GB2312"/>
          <w:sz w:val="24"/>
          <w:szCs w:val="24"/>
          <w:vertAlign w:val="superscript"/>
        </w:rPr>
        <w:t>⑭</w:t>
      </w:r>
      <w:r>
        <w:rPr>
          <w:rFonts w:hint="eastAsia" w:ascii="仿宋_GB2312" w:hAnsi="仿宋_GB2312" w:eastAsia="仿宋_GB2312" w:cs="仿宋_GB2312"/>
          <w:sz w:val="32"/>
          <w:szCs w:val="32"/>
        </w:rPr>
        <w:t>，打造乡村振兴示范典型。推动乡村移风易俗，实现乡风文明、家风良好、民风淳朴。</w:t>
      </w:r>
    </w:p>
    <w:p>
      <w:pPr>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生态环境更加优美宜居。</w:t>
      </w:r>
      <w:r>
        <w:rPr>
          <w:rFonts w:hint="eastAsia" w:ascii="仿宋_GB2312" w:hAnsi="仿宋_GB2312" w:eastAsia="仿宋_GB2312" w:cs="仿宋_GB2312"/>
          <w:sz w:val="32"/>
          <w:szCs w:val="32"/>
        </w:rPr>
        <w:t>把“碳达峰、碳中和”</w:t>
      </w:r>
      <w:r>
        <w:rPr>
          <w:rFonts w:hint="eastAsia" w:ascii="仿宋_GB2312" w:hAnsi="仿宋_GB2312" w:eastAsia="仿宋_GB2312" w:cs="仿宋_GB2312"/>
          <w:sz w:val="24"/>
          <w:szCs w:val="24"/>
          <w:vertAlign w:val="superscript"/>
        </w:rPr>
        <w:t>⑮</w:t>
      </w:r>
      <w:r>
        <w:rPr>
          <w:rFonts w:hint="eastAsia" w:ascii="仿宋_GB2312" w:hAnsi="仿宋_GB2312" w:eastAsia="仿宋_GB2312" w:cs="仿宋_GB2312"/>
          <w:sz w:val="32"/>
          <w:szCs w:val="32"/>
        </w:rPr>
        <w:t>纳入生态文明建设总体布局，统筹山水林田湖草系统治理。坚持最严格的耕地保护制度和节约用地制度，依法有序整治存量、遏制增量。继续打好“蓝天、碧水、净土”保卫战，咬住能耗双控目标，全面推进生活垃圾分类，有效控制农业面源污染。</w:t>
      </w:r>
    </w:p>
    <w:p>
      <w:pPr>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民生改善成就美好生活。</w:t>
      </w:r>
      <w:r>
        <w:rPr>
          <w:rFonts w:hint="eastAsia" w:ascii="仿宋_GB2312" w:hAnsi="仿宋_GB2312" w:eastAsia="仿宋_GB2312" w:cs="仿宋_GB2312"/>
          <w:sz w:val="32"/>
          <w:szCs w:val="32"/>
        </w:rPr>
        <w:t>稳步实施城市更新行动，持续改善城乡居民居住条件。多渠道推进灵活就业，实现更加充分就业。力推义务教育优质均衡，力促学前教育普及普惠。实施健康庄河行动，确保居民主要健康指标稳居全省前列。人民群众幸福指数大幅提高。</w:t>
      </w:r>
    </w:p>
    <w:p>
      <w:pPr>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三、2022年重点工作安排</w:t>
      </w:r>
    </w:p>
    <w:p>
      <w:pPr>
        <w:pStyle w:val="2"/>
        <w:snapToGrid w:val="0"/>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2022年，实现新一届政府开好局、起好步，事关全局、影响深远、意义重大。全市经济社会发展的主要预期目标是：地区生产总值增长8%以上，一般公共预算收入可比增长5%以上，完成固定资产投资100亿元以上，社会消费品零售总额增长10%以上，规模以上工业增加值同比增长14%，城乡居民人均可支配收入与经济同步增长。</w:t>
      </w:r>
    </w:p>
    <w:p>
      <w:pPr>
        <w:pStyle w:val="2"/>
        <w:snapToGrid w:val="0"/>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围绕实现上述目标，重点做好以下工作：</w:t>
      </w:r>
    </w:p>
    <w:p>
      <w:pPr>
        <w:snapToGrid w:val="0"/>
        <w:spacing w:line="600" w:lineRule="exact"/>
        <w:ind w:firstLine="599" w:firstLineChars="200"/>
        <w:rPr>
          <w:rFonts w:ascii="楷体_GB2312" w:hAnsi="楷体_GB2312" w:eastAsia="楷体_GB2312" w:cs="楷体_GB2312"/>
          <w:b/>
          <w:bCs/>
          <w:spacing w:val="-11"/>
          <w:sz w:val="32"/>
          <w:szCs w:val="32"/>
        </w:rPr>
      </w:pPr>
      <w:r>
        <w:rPr>
          <w:rFonts w:hint="eastAsia" w:ascii="楷体_GB2312" w:hAnsi="楷体_GB2312" w:eastAsia="楷体_GB2312" w:cs="楷体_GB2312"/>
          <w:b/>
          <w:bCs/>
          <w:spacing w:val="-11"/>
          <w:sz w:val="32"/>
          <w:szCs w:val="32"/>
        </w:rPr>
        <w:t>（一）始终保持久久为功的韧劲和毅力，毫不放松抓好常态化疫情防控</w:t>
      </w:r>
    </w:p>
    <w:p>
      <w:pPr>
        <w:pStyle w:val="2"/>
        <w:snapToGrid w:val="0"/>
        <w:spacing w:line="60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压紧压实“四方责任”</w:t>
      </w:r>
      <w:r>
        <w:rPr>
          <w:rFonts w:hint="eastAsia" w:ascii="仿宋_GB2312" w:hAnsi="仿宋_GB2312" w:eastAsia="仿宋_GB2312" w:cs="仿宋_GB2312"/>
          <w:sz w:val="24"/>
          <w:szCs w:val="24"/>
          <w:vertAlign w:val="superscript"/>
        </w:rPr>
        <w:t>⑯</w:t>
      </w:r>
      <w:r>
        <w:rPr>
          <w:rFonts w:hint="eastAsia" w:ascii="仿宋_GB2312" w:hAnsi="仿宋_GB2312" w:eastAsia="仿宋_GB2312" w:cs="仿宋_GB2312"/>
          <w:b/>
          <w:bCs/>
          <w:sz w:val="32"/>
          <w:szCs w:val="32"/>
        </w:rPr>
        <w:t>，切实筑牢疫情防控严密防线。</w:t>
      </w:r>
      <w:r>
        <w:rPr>
          <w:rFonts w:hint="eastAsia" w:ascii="仿宋_GB2312" w:hAnsi="仿宋_GB2312" w:eastAsia="仿宋_GB2312" w:cs="仿宋_GB2312"/>
          <w:sz w:val="32"/>
          <w:szCs w:val="32"/>
        </w:rPr>
        <w:t>深刻汲取“11·03”疫情教训，坚持“外防输入、内防反弹”策略。加快构建“市、乡镇（街道）、村屯（社区）”三级防控网格，全面做好域外返庄人员排查管控。加大重点行业、重点场所和重点人员管控力度，严格落实公共场所扫码、戴口罩、测体温等防控要求，将常态化疫情防控措施融入到经济社会发展各领域全过程。从严加强进口冷链食品监管，坚决阻断</w:t>
      </w:r>
      <w:r>
        <w:rPr>
          <w:rFonts w:ascii="仿宋_GB2312" w:hAnsi="仿宋_GB2312" w:eastAsia="仿宋_GB2312" w:cs="仿宋_GB2312"/>
          <w:sz w:val="32"/>
          <w:szCs w:val="32"/>
        </w:rPr>
        <w:t>进口冷链食品疫情传播风险</w:t>
      </w:r>
      <w:r>
        <w:rPr>
          <w:rFonts w:hint="eastAsia" w:ascii="仿宋_GB2312" w:hAnsi="仿宋_GB2312" w:eastAsia="仿宋_GB2312" w:cs="仿宋_GB2312"/>
          <w:sz w:val="32"/>
          <w:szCs w:val="32"/>
        </w:rPr>
        <w:t>。全力推进新冠疫苗接种，筑牢群体免疫屏障。积极开展无疫小区、无疫村屯创建，全力打造常态化疫情防控工作示范区。</w:t>
      </w:r>
    </w:p>
    <w:p>
      <w:pPr>
        <w:pStyle w:val="2"/>
        <w:snapToGrid w:val="0"/>
        <w:spacing w:line="60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严格落实“四早”</w:t>
      </w:r>
      <w:r>
        <w:rPr>
          <w:rFonts w:hint="eastAsia" w:ascii="楷体_GB2312" w:hAnsi="楷体_GB2312" w:eastAsia="楷体_GB2312" w:cs="楷体_GB2312"/>
          <w:spacing w:val="-11"/>
          <w:sz w:val="24"/>
          <w:szCs w:val="24"/>
          <w:vertAlign w:val="superscript"/>
        </w:rPr>
        <w:t>⑰</w:t>
      </w:r>
      <w:r>
        <w:rPr>
          <w:rFonts w:hint="eastAsia" w:ascii="仿宋_GB2312" w:hAnsi="仿宋_GB2312" w:eastAsia="仿宋_GB2312" w:cs="仿宋_GB2312"/>
          <w:b/>
          <w:bCs/>
          <w:sz w:val="32"/>
          <w:szCs w:val="32"/>
        </w:rPr>
        <w:t>要求，切实提升疫情防控能力和水平。</w:t>
      </w:r>
      <w:r>
        <w:rPr>
          <w:rFonts w:hint="eastAsia" w:ascii="仿宋_GB2312" w:hAnsi="仿宋_GB2312" w:eastAsia="仿宋_GB2312" w:cs="仿宋_GB2312"/>
          <w:sz w:val="32"/>
          <w:szCs w:val="32"/>
        </w:rPr>
        <w:t>坚持“人、物、环境”同防。充分发挥基层医疗卫生机构、零售药店“哨点”“探头”作用。严格落实医疗机构首诊负责制，规范发热门诊、小诊所等患者接诊处置流程，提高病例早期识别和发现能力。完成市中心医院发热门诊改造，启动市中医医院和市第二人民医院发热门诊建设。建立高风险人群、高风险行业多点监测预警机制，确保域内感染隐患得到及时排查。全力提升核酸检测能力，确保日核酸检测能力达到3万管。着力加强公共卫生队伍建设，做好人员培训和应急演练，确保</w:t>
      </w:r>
      <w:r>
        <w:rPr>
          <w:rFonts w:ascii="仿宋_GB2312" w:hAnsi="仿宋_GB2312" w:eastAsia="仿宋_GB2312" w:cs="仿宋_GB2312"/>
          <w:sz w:val="32"/>
          <w:szCs w:val="32"/>
        </w:rPr>
        <w:t>疫情防控指挥体系</w:t>
      </w:r>
      <w:r>
        <w:rPr>
          <w:rFonts w:hint="eastAsia" w:ascii="仿宋_GB2312" w:hAnsi="仿宋_GB2312" w:eastAsia="仿宋_GB2312" w:cs="仿宋_GB2312"/>
          <w:sz w:val="32"/>
          <w:szCs w:val="32"/>
        </w:rPr>
        <w:t>始终</w:t>
      </w:r>
      <w:r>
        <w:rPr>
          <w:rFonts w:ascii="仿宋_GB2312" w:hAnsi="仿宋_GB2312" w:eastAsia="仿宋_GB2312" w:cs="仿宋_GB2312"/>
          <w:sz w:val="32"/>
          <w:szCs w:val="32"/>
        </w:rPr>
        <w:t>处于激活状态</w:t>
      </w:r>
      <w:r>
        <w:rPr>
          <w:rFonts w:hint="eastAsia" w:ascii="仿宋_GB2312" w:hAnsi="仿宋_GB2312" w:eastAsia="仿宋_GB2312" w:cs="仿宋_GB2312"/>
          <w:sz w:val="32"/>
          <w:szCs w:val="32"/>
        </w:rPr>
        <w:t>。</w:t>
      </w:r>
    </w:p>
    <w:p>
      <w:pPr>
        <w:snapToGrid w:val="0"/>
        <w:spacing w:line="600" w:lineRule="exact"/>
        <w:ind w:firstLine="599" w:firstLineChars="200"/>
        <w:rPr>
          <w:rFonts w:ascii="楷体_GB2312" w:hAnsi="楷体_GB2312" w:eastAsia="楷体_GB2312" w:cs="楷体_GB2312"/>
          <w:b/>
          <w:bCs/>
          <w:spacing w:val="-11"/>
          <w:sz w:val="32"/>
          <w:szCs w:val="32"/>
        </w:rPr>
      </w:pPr>
      <w:r>
        <w:rPr>
          <w:rFonts w:hint="eastAsia" w:ascii="楷体_GB2312" w:hAnsi="楷体_GB2312" w:eastAsia="楷体_GB2312" w:cs="楷体_GB2312"/>
          <w:b/>
          <w:bCs/>
          <w:spacing w:val="-11"/>
          <w:sz w:val="32"/>
          <w:szCs w:val="32"/>
        </w:rPr>
        <w:t>（二）抢抓“碳达峰、碳中和 ”战略机遇，全力推进“三大新兴板块”实现新跨越</w:t>
      </w:r>
    </w:p>
    <w:p>
      <w:pPr>
        <w:pStyle w:val="2"/>
        <w:snapToGrid w:val="0"/>
        <w:spacing w:line="60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强化高效开发利用，大力发展清洁能源产业。</w:t>
      </w:r>
      <w:r>
        <w:rPr>
          <w:rFonts w:hint="eastAsia" w:ascii="仿宋_GB2312" w:hAnsi="仿宋_GB2312" w:eastAsia="仿宋_GB2312" w:cs="仿宋_GB2312"/>
          <w:sz w:val="32"/>
          <w:szCs w:val="32"/>
        </w:rPr>
        <w:t>依托智慧能源城市和海岛（镇）微网试点建设，抢抓《辽宁沿海经济带高质量发展规划》实施重大机遇，全面对接大连市洁净能源产业布局，着力丰富清洁能源设备制造、基础设施施工、后期运营服务、核心技术研发等能源产业链条，加快构建现代能源产业新体系，促进我市“太阳能、风能、水能、核能、氢能、生物能”开发应用。全力推进华能Ⅳ2风场、庄河V风场和花园口风场，以及辽宁庄河抽水蓄能电站等重大项目建设。全力争取135万千瓦海上风电二期项目批复。全面做好核电项目实质性厂址保护和城山抽水蓄能电站项目生态红线调整。加快推进水库及沿海滩涂集中式光伏发电项目指标落地。启动整县分布式光伏开发试点建设工作。</w:t>
      </w:r>
    </w:p>
    <w:p>
      <w:pPr>
        <w:pStyle w:val="2"/>
        <w:snapToGrid w:val="0"/>
        <w:spacing w:line="60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强化资源挖潜增效，大力发展文旅康养产业。</w:t>
      </w:r>
      <w:r>
        <w:rPr>
          <w:rFonts w:hint="eastAsia" w:ascii="仿宋_GB2312" w:hAnsi="仿宋_GB2312" w:eastAsia="仿宋_GB2312" w:cs="仿宋_GB2312"/>
          <w:sz w:val="32"/>
          <w:szCs w:val="32"/>
        </w:rPr>
        <w:t>全力创建国家全域旅游示范区。深入挖掘“山林泉、海河湖、岛港城”独特旅游资源，推动旅游业多元化、全域化发展。着力提高天门山、冰峪沟等景区精细化管理水平。拓展海王九岛旅游航线，联动发展深潜体验、游艇海钓等新兴旅游。加快发展精品民宿、渔家风情、温泉养生、田园农耕等乡村旅游精品项目。坚持办好草莓节、蓝莓节、环英那湖自行车赛等节事赛事活动，不断提升庄河旅游影响力。着力构建多形式、全方位旅游营销体系，吸引更多游客了解庄河、走进庄河。</w:t>
      </w:r>
    </w:p>
    <w:p>
      <w:pPr>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强化校地融合共建，大力发展教育科创产业。</w:t>
      </w:r>
      <w:r>
        <w:rPr>
          <w:rFonts w:hint="eastAsia" w:ascii="仿宋_GB2312" w:hAnsi="仿宋_GB2312" w:eastAsia="仿宋_GB2312" w:cs="仿宋_GB2312"/>
          <w:sz w:val="32"/>
          <w:szCs w:val="32"/>
        </w:rPr>
        <w:t>持续增强教育科创特色小镇功能，加快推进大学城东校区AB区</w:t>
      </w:r>
      <w:r>
        <w:rPr>
          <w:rFonts w:hint="eastAsia" w:ascii="仿宋_GB2312" w:hAnsi="仿宋_GB2312" w:eastAsia="仿宋_GB2312" w:cs="仿宋_GB2312"/>
          <w:sz w:val="24"/>
          <w:szCs w:val="24"/>
          <w:vertAlign w:val="superscript"/>
        </w:rPr>
        <w:t>⑱</w:t>
      </w:r>
      <w:r>
        <w:rPr>
          <w:rFonts w:hint="eastAsia" w:ascii="仿宋_GB2312" w:hAnsi="仿宋_GB2312" w:eastAsia="仿宋_GB2312" w:cs="仿宋_GB2312"/>
          <w:sz w:val="32"/>
          <w:szCs w:val="32"/>
        </w:rPr>
        <w:t>建设，力争大学城创新创业基地投入使用。积极推行校企合作、工学一体的高技能人才培养模式，做大做强机械工程、自动化、工业设计等优势专业，为企业发展提供更多技能人才。</w:t>
      </w:r>
    </w:p>
    <w:p>
      <w:pPr>
        <w:snapToGrid w:val="0"/>
        <w:spacing w:line="600" w:lineRule="exact"/>
        <w:ind w:firstLine="599" w:firstLineChars="200"/>
        <w:rPr>
          <w:rFonts w:ascii="楷体_GB2312" w:hAnsi="楷体_GB2312" w:eastAsia="楷体_GB2312" w:cs="楷体_GB2312"/>
          <w:b/>
          <w:bCs/>
          <w:spacing w:val="-11"/>
          <w:sz w:val="32"/>
          <w:szCs w:val="32"/>
        </w:rPr>
      </w:pPr>
      <w:r>
        <w:rPr>
          <w:rFonts w:hint="eastAsia" w:ascii="楷体_GB2312" w:hAnsi="楷体_GB2312" w:eastAsia="楷体_GB2312" w:cs="楷体_GB2312"/>
          <w:b/>
          <w:bCs/>
          <w:spacing w:val="-11"/>
          <w:sz w:val="32"/>
          <w:szCs w:val="32"/>
        </w:rPr>
        <w:t>（三）扎实做好产业结构调整“三篇大文章”，不断拓展经济增长新空间</w:t>
      </w:r>
    </w:p>
    <w:p>
      <w:pPr>
        <w:snapToGrid w:val="0"/>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聚焦转型升级，改造提升“老字号”。</w:t>
      </w:r>
      <w:r>
        <w:rPr>
          <w:rFonts w:hint="eastAsia" w:ascii="仿宋_GB2312" w:hAnsi="仿宋_GB2312" w:eastAsia="仿宋_GB2312" w:cs="仿宋_GB2312"/>
          <w:sz w:val="32"/>
          <w:szCs w:val="32"/>
        </w:rPr>
        <w:t>加快推进产业数字赋能，推动巨通塑料“智能工厂”建成运营，做好新丰制衣等企业网络化、智能化改造，着力打造一批数字化改造示范项目。突出金河铸造高端数控机床优势，建立铸件标准化联合检测中心。依托钰霖电机永磁直驱核心技术，打造具有全国竞争力的超耐磨防腐石油开采油管生产线制造项目。支持大连轮胎厂开展技术革新，以过硬产品质量和优质服务赢得市场信赖。发挥庄河港木材专用码头和木材加工产业园综合优势，吸引上下游企业集聚。</w:t>
      </w:r>
    </w:p>
    <w:p>
      <w:pPr>
        <w:pStyle w:val="2"/>
        <w:snapToGrid w:val="0"/>
        <w:spacing w:line="600" w:lineRule="exact"/>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聚焦特色优势，深度开发“原字号”。</w:t>
      </w:r>
      <w:r>
        <w:rPr>
          <w:rFonts w:hint="eastAsia" w:ascii="仿宋_GB2312" w:hAnsi="仿宋_GB2312" w:eastAsia="仿宋_GB2312" w:cs="仿宋_GB2312"/>
          <w:sz w:val="32"/>
          <w:szCs w:val="32"/>
        </w:rPr>
        <w:t>提升发展现代渔业。支持海水增养殖优质品种培育和健康苗种繁育，创建省级以上良种场6家。建设玉洋、金海岸等海洋牧场1万亩，做强“海上粮仓”。加快北黄海冷链物流基地二期建设，倾力打造北黄海沿线水产品集散中心。瞄准绿色、生态、健康、时尚发展方向，做精农产品加工业。围绕果蔬、肉禽和粮油等重点行业，进一步提高地产农产品加工比重和“庄河质造”品牌知名度，推进庄河农产品向精深加工转变。</w:t>
      </w:r>
    </w:p>
    <w:p>
      <w:pPr>
        <w:pStyle w:val="2"/>
        <w:snapToGrid w:val="0"/>
        <w:spacing w:line="60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聚焦扩规提质，培育壮大“新字号”。</w:t>
      </w:r>
      <w:r>
        <w:rPr>
          <w:rFonts w:hint="eastAsia" w:ascii="仿宋_GB2312" w:hAnsi="仿宋_GB2312" w:eastAsia="仿宋_GB2312" w:cs="仿宋_GB2312"/>
          <w:sz w:val="32"/>
          <w:szCs w:val="32"/>
        </w:rPr>
        <w:t>以建设中英产业园、中日示范园为契机，围绕先进制造、新能源、网联汽车等重点领域，积极引进和培育一批投资额度大、发展趋势好、带动能力强的好项目。强化要素保障，确保奥森制药、新德隆陶瓷新材料、高性能锂电池电芯智能化生产线等重点项目加快建设、早日投产。加快推动实达预构件生产基地、博融新材料产业园等重点在谈项目早日签约落地。力推欣和重工与沈阳工业大学产学研合作，共建共享技术创新平台。</w:t>
      </w:r>
    </w:p>
    <w:p>
      <w:pPr>
        <w:pStyle w:val="2"/>
        <w:snapToGrid w:val="0"/>
        <w:spacing w:line="600" w:lineRule="exact"/>
        <w:ind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（四）深入推进“一城一区三带”</w:t>
      </w:r>
      <w:r>
        <w:rPr>
          <w:rFonts w:hint="eastAsia" w:ascii="楷体_GB2312" w:hAnsi="楷体_GB2312" w:eastAsia="楷体_GB2312" w:cs="楷体_GB2312"/>
          <w:sz w:val="24"/>
          <w:szCs w:val="24"/>
          <w:vertAlign w:val="superscript"/>
        </w:rPr>
        <w:t>⑲</w:t>
      </w:r>
      <w:r>
        <w:rPr>
          <w:rFonts w:hint="eastAsia" w:ascii="楷体_GB2312" w:hAnsi="楷体_GB2312" w:eastAsia="楷体_GB2312" w:cs="楷体_GB2312"/>
          <w:b/>
          <w:bCs/>
          <w:sz w:val="32"/>
          <w:szCs w:val="32"/>
        </w:rPr>
        <w:t>建设，加快构建区域互动、城乡联动新格局</w:t>
      </w:r>
    </w:p>
    <w:p>
      <w:pPr>
        <w:pStyle w:val="2"/>
        <w:snapToGrid w:val="0"/>
        <w:spacing w:line="60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完善功能、提升品质，增强主城区综合承载力。</w:t>
      </w:r>
      <w:r>
        <w:rPr>
          <w:rFonts w:hint="eastAsia" w:ascii="仿宋_GB2312" w:hAnsi="仿宋_GB2312" w:eastAsia="仿宋_GB2312" w:cs="仿宋_GB2312"/>
          <w:sz w:val="32"/>
          <w:szCs w:val="32"/>
        </w:rPr>
        <w:t>坚持把创建全国文明城市作为“一号工程”全力推进。实施城市更新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日语学校、鑫邦国际等区域路网建设；启动李屯路网和临港6号路等道路工程；扎实推进庄河、鲍码河防汛提升改造工程；完成内环路、庄打路、锦绣大街路灯维修；规划建设永兴街、二环路等口袋公园，为市民打造“家门口的休闲空间”；强力推进内环路南延和3号路海绵工程，做好海绵城市专项工程收尾。加强城市精细化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智慧城市运营，丰富智慧出行、智慧安防、智慧社区等场景应用，建立城市管网电子档案；深入实施城区生活垃圾分类；持续开展市容市貌、环境卫生、公共秩序、违法建设等城市环境专项治理，促进城市面貌进一步改善。</w:t>
      </w:r>
    </w:p>
    <w:p>
      <w:pPr>
        <w:pStyle w:val="2"/>
        <w:snapToGrid w:val="0"/>
        <w:spacing w:line="60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招大引强、精准发力，提升园区经济核心竞争力。</w:t>
      </w:r>
      <w:r>
        <w:rPr>
          <w:rFonts w:hint="eastAsia" w:ascii="仿宋_GB2312" w:hAnsi="仿宋_GB2312" w:eastAsia="仿宋_GB2312" w:cs="仿宋_GB2312"/>
          <w:sz w:val="32"/>
          <w:szCs w:val="32"/>
        </w:rPr>
        <w:t>充分发挥北黄海经开区“经济发展</w:t>
      </w:r>
      <w:r>
        <w:rPr>
          <w:rFonts w:ascii="仿宋_GB2312" w:hAnsi="仿宋_GB2312" w:eastAsia="仿宋_GB2312" w:cs="仿宋_GB2312"/>
          <w:sz w:val="32"/>
          <w:szCs w:val="32"/>
        </w:rPr>
        <w:t>主战场、创新发展主引擎、项目投资主阵地</w:t>
      </w:r>
      <w:r>
        <w:rPr>
          <w:rFonts w:hint="eastAsia" w:ascii="仿宋_GB2312" w:hAnsi="仿宋_GB2312" w:eastAsia="仿宋_GB2312" w:cs="仿宋_GB2312"/>
          <w:sz w:val="32"/>
          <w:szCs w:val="32"/>
        </w:rPr>
        <w:t>”作用，大力引进对园区乃至全市未来发展具有决定、支撑和引领作用的大项目，改变区域产业发展走向和格局。强化量身定制服务，盘活存量、做优增量，加快培育雏鹰、瞪羚企业。通过制度创新和环境营造，全力打造中国北方最适宜中小微企业发展的服务环境，大力吸引新零售、新媒体、新服务等新业态向园区集聚。努力把北黄海经开区建设成为全市产业结构优化的试验区、示范区和先行区。启动与丹东东港协调发展机制，高水平推进庄河港对外合作开放。</w:t>
      </w:r>
    </w:p>
    <w:p>
      <w:pPr>
        <w:pStyle w:val="2"/>
        <w:snapToGrid w:val="0"/>
        <w:spacing w:line="60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以线带面、协调推进，强化“三带”辐射带动力。</w:t>
      </w:r>
      <w:r>
        <w:rPr>
          <w:rFonts w:hint="eastAsia" w:ascii="仿宋_GB2312" w:hAnsi="仿宋_GB2312" w:eastAsia="仿宋_GB2312" w:cs="仿宋_GB2312"/>
          <w:sz w:val="32"/>
          <w:szCs w:val="32"/>
        </w:rPr>
        <w:t>重振南部蓝色海洋经济带。全面启动“蓝湾项目</w:t>
      </w:r>
      <w:r>
        <w:rPr>
          <w:rFonts w:hint="eastAsia" w:ascii="仿宋_GB2312" w:hAnsi="仿宋_GB2312" w:eastAsia="仿宋_GB2312" w:cs="仿宋_GB2312"/>
          <w:sz w:val="24"/>
          <w:szCs w:val="24"/>
          <w:vertAlign w:val="superscript"/>
        </w:rPr>
        <w:t>⑳</w:t>
      </w:r>
      <w:r>
        <w:rPr>
          <w:rFonts w:hint="eastAsia" w:ascii="仿宋_GB2312" w:hAnsi="仿宋_GB2312" w:eastAsia="仿宋_GB2312" w:cs="仿宋_GB2312"/>
          <w:sz w:val="32"/>
          <w:szCs w:val="32"/>
        </w:rPr>
        <w:t>”，加快“河口水动力恢复、退养还湿修复、岸线生态修复”三大工程建设，打造海上“绿水青山”。壮大中部金色现代农业经济带。加快中部供水工程建设。完成大中修农村公路150公里。力推天步线</w:t>
      </w:r>
      <w:r>
        <w:rPr>
          <w:rFonts w:hint="eastAsia" w:ascii="仿宋_GB2312" w:hAnsi="仿宋_GB2312" w:eastAsia="仿宋_GB2312" w:cs="仿宋_GB2312"/>
          <w:sz w:val="24"/>
          <w:szCs w:val="24"/>
          <w:vertAlign w:val="superscript"/>
        </w:rPr>
        <w:t>㉑</w:t>
      </w:r>
      <w:r>
        <w:rPr>
          <w:rFonts w:hint="eastAsia" w:ascii="仿宋_GB2312" w:hAnsi="仿宋_GB2312" w:eastAsia="仿宋_GB2312" w:cs="仿宋_GB2312"/>
          <w:sz w:val="32"/>
          <w:szCs w:val="32"/>
        </w:rPr>
        <w:t>开工建设。实施城乡电网改造。完成冷家500千伏升压工程、花园口220千伏变电站线路工程和太平岭66千伏变电站新建工程，启动桂云花66千伏变电站建设。实施保护性耕作7.1万亩，建设高标准农田4万亩，发展设施农业2000亩。推动畜牧业生态化、标准化发展，保障肉蛋等畜产品稳定供给。提升北部绿色生态旅游经济带。依托特色旅游资源，突出温泉、民俗、采摘、自驾等主题，创建一批乡村旅游集群片区、农业旅游示范点。</w:t>
      </w:r>
    </w:p>
    <w:p>
      <w:pPr>
        <w:snapToGrid w:val="0"/>
        <w:spacing w:line="6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（五）持续深化体制机制创新，着力激发各类市场主体发展新活力</w:t>
      </w:r>
    </w:p>
    <w:p>
      <w:pPr>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深化放管服改革，提升政务服务效能。</w:t>
      </w:r>
      <w:r>
        <w:rPr>
          <w:rFonts w:hint="eastAsia" w:ascii="仿宋_GB2312" w:hAnsi="仿宋_GB2312" w:eastAsia="仿宋_GB2312" w:cs="仿宋_GB2312"/>
          <w:sz w:val="32"/>
          <w:szCs w:val="32"/>
        </w:rPr>
        <w:t>纵深推进“双随机、一公开”监管制度改革，强化事中事后监管。加快推进政务服务中心智能化、标准化升级改造，完善“前台综合受理、后台分类审批、统一窗口出件”审批模式，实现“一次可办、一次办好”。加快推进工程建设项目和“证照分离”等重点领域审批制度改革，优化“一网通办”，降低企业开办成本。扎实推进税收征管改革，力争在税务执法规范性、税费服务便捷性、税务监管精准性上取得重要进展。</w:t>
      </w:r>
    </w:p>
    <w:p>
      <w:pPr>
        <w:snapToGrid w:val="0"/>
        <w:spacing w:line="600" w:lineRule="exact"/>
        <w:ind w:firstLine="643"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b/>
          <w:bCs/>
          <w:sz w:val="32"/>
          <w:szCs w:val="32"/>
        </w:rPr>
        <w:t>深化国资国企改革，激发市场主体活力。</w:t>
      </w:r>
      <w:r>
        <w:rPr>
          <w:rFonts w:hint="eastAsia" w:ascii="仿宋_GB2312" w:hAnsi="仿宋_GB2312" w:eastAsia="仿宋_GB2312" w:cs="仿宋_GB2312"/>
          <w:sz w:val="32"/>
          <w:szCs w:val="32"/>
        </w:rPr>
        <w:t>建立健全国资监管运营“权利清单、责任清单”制度，加快形成全面覆盖、分工明确、协同配合、制约有力的国有资产监督体系。加快调整优化国有资本布局结构，完成庄河市企业信用担保有限公司、大连融强投资有限公司等6个市属国有企业组建。探索推行市场化选聘考录制度，规范董事会建设，健全市场化经营和激励约束机制，稳步提升国有企业生产经营活力。开展国有资产“清底、</w:t>
      </w:r>
      <w:r>
        <w:rPr>
          <w:rFonts w:ascii="仿宋_GB2312" w:hAnsi="仿宋_GB2312" w:eastAsia="仿宋_GB2312" w:cs="仿宋_GB2312"/>
          <w:sz w:val="32"/>
          <w:szCs w:val="32"/>
        </w:rPr>
        <w:t>盘活”</w:t>
      </w:r>
      <w:r>
        <w:rPr>
          <w:rFonts w:hint="eastAsia" w:ascii="仿宋_GB2312" w:hAnsi="仿宋_GB2312" w:eastAsia="仿宋_GB2312" w:cs="仿宋_GB2312"/>
          <w:sz w:val="32"/>
          <w:szCs w:val="32"/>
        </w:rPr>
        <w:t>专项行动，</w:t>
      </w:r>
      <w:r>
        <w:rPr>
          <w:rFonts w:ascii="仿宋_GB2312" w:hAnsi="仿宋_GB2312" w:eastAsia="仿宋_GB2312" w:cs="仿宋_GB2312"/>
          <w:sz w:val="32"/>
          <w:szCs w:val="32"/>
        </w:rPr>
        <w:t>管好用活经营性国有资产,确保国有资产保值增值</w:t>
      </w:r>
      <w:r>
        <w:rPr>
          <w:rFonts w:hint="eastAsia" w:ascii="仿宋_GB2312" w:hAnsi="仿宋_GB2312" w:eastAsia="仿宋_GB2312" w:cs="仿宋_GB2312"/>
          <w:sz w:val="32"/>
          <w:szCs w:val="32"/>
        </w:rPr>
        <w:t>。</w:t>
      </w:r>
    </w:p>
    <w:p>
      <w:pPr>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深化农村产权制度改革，积势赋能乡村振兴发展。</w:t>
      </w:r>
      <w:r>
        <w:rPr>
          <w:rFonts w:hint="eastAsia" w:ascii="仿宋_GB2312" w:hAnsi="仿宋_GB2312" w:eastAsia="仿宋_GB2312" w:cs="仿宋_GB2312"/>
          <w:sz w:val="32"/>
          <w:szCs w:val="32"/>
        </w:rPr>
        <w:t>推进农村集体经济组织和村民自治组织职能分离，推动新型集体经济组织向实体运营转变。加快农村产权交易中心建设，做好承包地确权登记颁证收尾和成果利用工作。加快农村宅基地改革，着力盘活闲置宅基地。大力培育新型农业经营主体，重点培育家庭农场和农民合作社，将分散农户经营融入农业产业链。</w:t>
      </w:r>
    </w:p>
    <w:p>
      <w:pPr>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深化人才引进培育，夯实发展智力支撑。</w:t>
      </w:r>
      <w:r>
        <w:rPr>
          <w:rFonts w:hint="eastAsia" w:ascii="仿宋_GB2312" w:hAnsi="仿宋_GB2312" w:eastAsia="仿宋_GB2312" w:cs="仿宋_GB2312"/>
          <w:sz w:val="32"/>
          <w:szCs w:val="32"/>
        </w:rPr>
        <w:t>拓展“触摸庄河”系列活动影响力，实施“大学生留庄计划”“庄河籍在外人才回乡创业计划”。完善实习薪酬补贴、就业创业补贴、人才公寓等制度，</w:t>
      </w:r>
      <w:r>
        <w:rPr>
          <w:rFonts w:hint="eastAsia" w:ascii="仿宋_GB2312" w:hAnsi="仿宋_GB2312" w:eastAsia="仿宋_GB2312" w:cs="仿宋_GB2312"/>
          <w:sz w:val="32"/>
        </w:rPr>
        <w:t>吸引优秀大学生和大学教师留庄来庄</w:t>
      </w:r>
      <w:r>
        <w:rPr>
          <w:rFonts w:hint="eastAsia" w:ascii="仿宋_GB2312" w:hAnsi="仿宋_GB2312" w:eastAsia="仿宋_GB2312" w:cs="仿宋_GB2312"/>
          <w:sz w:val="32"/>
          <w:szCs w:val="32"/>
        </w:rPr>
        <w:t>，打造“大学生友好城市”。</w:t>
      </w:r>
    </w:p>
    <w:p>
      <w:pPr>
        <w:snapToGrid w:val="0"/>
        <w:spacing w:line="600" w:lineRule="exact"/>
        <w:ind w:firstLine="643" w:firstLineChars="200"/>
        <w:rPr>
          <w:rFonts w:ascii="Times New Roman" w:hAnsi="楷体_GB2312" w:eastAsia="楷体_GB2312" w:cs="楷体_GB2312"/>
          <w:b/>
          <w:bCs/>
          <w:sz w:val="32"/>
          <w:szCs w:val="32"/>
        </w:rPr>
      </w:pPr>
      <w:r>
        <w:rPr>
          <w:rFonts w:hint="eastAsia" w:ascii="Times New Roman" w:hAnsi="楷体_GB2312" w:eastAsia="楷体_GB2312" w:cs="楷体_GB2312"/>
          <w:b/>
          <w:bCs/>
          <w:sz w:val="32"/>
          <w:szCs w:val="32"/>
        </w:rPr>
        <w:t>（六）持续加强污染防治和生态建设，着力推动全域环境质量新提升</w:t>
      </w:r>
    </w:p>
    <w:p>
      <w:pPr>
        <w:snapToGrid w:val="0"/>
        <w:spacing w:line="600" w:lineRule="exact"/>
        <w:ind w:firstLine="643" w:firstLineChars="200"/>
        <w:rPr>
          <w:rFonts w:ascii="仿宋_GB2312" w:hAnsi="仿宋_GB2312" w:eastAsia="仿宋_GB2312" w:cs="仿宋_GB2312"/>
          <w:sz w:val="32"/>
        </w:rPr>
      </w:pPr>
      <w:r>
        <w:rPr>
          <w:rFonts w:hint="eastAsia" w:ascii="Times New Roman" w:eastAsia="仿宋_GB2312"/>
          <w:b/>
          <w:bCs/>
          <w:sz w:val="32"/>
        </w:rPr>
        <w:t>持续做好污染防治攻坚，确保治理成效。</w:t>
      </w:r>
      <w:r>
        <w:rPr>
          <w:rFonts w:hint="eastAsia" w:ascii="仿宋_GB2312" w:hAnsi="仿宋_GB2312" w:eastAsia="仿宋_GB2312" w:cs="仿宋_GB2312"/>
          <w:sz w:val="32"/>
        </w:rPr>
        <w:t>重拳治理燃煤、城市扬尘、汽车尾气、石材加工粉尘等大气污染，确保PM2.5、PM10等大气指标持续改善。突出污水收集处理、河道综合整治、食品加工废水外排标准提升等重点，强化水污染治理，确保国考河流断面、饮用水水源地水质稳定达标。全力争取城东污水处理厂二期落地，积极推进污废循环处理综合体项目试运行。大力开展土壤污染治理与修复试点示范，力推化肥</w:t>
      </w:r>
      <w:r>
        <w:rPr>
          <w:rFonts w:ascii="仿宋_GB2312" w:hAnsi="仿宋_GB2312" w:eastAsia="仿宋_GB2312" w:cs="仿宋_GB2312"/>
          <w:sz w:val="32"/>
        </w:rPr>
        <w:t>、农药用量分别比上年减少100吨和</w:t>
      </w:r>
      <w:r>
        <w:rPr>
          <w:rFonts w:hint="eastAsia" w:ascii="仿宋_GB2312" w:hAnsi="仿宋_GB2312" w:eastAsia="仿宋_GB2312" w:cs="仿宋_GB2312"/>
          <w:sz w:val="32"/>
        </w:rPr>
        <w:t>30</w:t>
      </w:r>
      <w:r>
        <w:rPr>
          <w:rFonts w:ascii="仿宋_GB2312" w:hAnsi="仿宋_GB2312" w:eastAsia="仿宋_GB2312" w:cs="仿宋_GB2312"/>
          <w:sz w:val="32"/>
        </w:rPr>
        <w:t>吨</w:t>
      </w:r>
      <w:r>
        <w:rPr>
          <w:rFonts w:hint="eastAsia" w:ascii="仿宋_GB2312" w:hAnsi="仿宋_GB2312" w:eastAsia="仿宋_GB2312" w:cs="仿宋_GB2312"/>
          <w:sz w:val="32"/>
        </w:rPr>
        <w:t>，巩固永久基本农田土壤环境治理成果。全面完成中央生态环境保护督察案件整改销号。</w:t>
      </w:r>
    </w:p>
    <w:p>
      <w:pPr>
        <w:snapToGrid w:val="0"/>
        <w:spacing w:line="600" w:lineRule="exact"/>
        <w:ind w:firstLine="643" w:firstLineChars="200"/>
        <w:rPr>
          <w:rFonts w:ascii="仿宋_GB2312" w:hAnsi="仿宋_GB2312" w:eastAsia="仿宋_GB2312" w:cs="仿宋_GB2312"/>
          <w:sz w:val="32"/>
        </w:rPr>
      </w:pPr>
      <w:r>
        <w:rPr>
          <w:rFonts w:hint="eastAsia" w:ascii="Times New Roman" w:eastAsia="仿宋_GB2312"/>
          <w:b/>
          <w:bCs/>
          <w:sz w:val="32"/>
        </w:rPr>
        <w:t>持续改善农村环境，确保建管达标。</w:t>
      </w:r>
      <w:r>
        <w:rPr>
          <w:rFonts w:hint="eastAsia" w:ascii="仿宋_GB2312" w:hAnsi="仿宋_GB2312" w:eastAsia="仿宋_GB2312" w:cs="仿宋_GB2312"/>
          <w:sz w:val="32"/>
        </w:rPr>
        <w:t>探索建立“政府主导、农民主体、部门配合、社会资助、企业参与、市场运作”的农村人居环境建设机制。深入开展村庄清洁行动和“美丽庭院”创建，织密美丽乡村宜居网。完成</w:t>
      </w:r>
      <w:r>
        <w:rPr>
          <w:rFonts w:hint="eastAsia" w:ascii="仿宋_GB2312" w:hAnsi="仿宋_GB2312" w:eastAsia="仿宋_GB2312" w:cs="仿宋_GB2312"/>
          <w:sz w:val="32"/>
          <w:szCs w:val="32"/>
        </w:rPr>
        <w:t>农村道路硬化200万平方米。</w:t>
      </w:r>
      <w:r>
        <w:rPr>
          <w:rFonts w:hint="eastAsia" w:ascii="仿宋_GB2312" w:hAnsi="仿宋_GB2312" w:eastAsia="仿宋_GB2312" w:cs="仿宋_GB2312"/>
          <w:sz w:val="32"/>
        </w:rPr>
        <w:t>加快推进农业废弃物综合利用，确保畜禽粪污综合利用率达到92%以上，秸秆综合利用率达到95%。完善农村无害化卫生厕所管护机制，确保</w:t>
      </w:r>
      <w:r>
        <w:rPr>
          <w:rFonts w:ascii="仿宋_GB2312" w:hAnsi="仿宋_GB2312" w:eastAsia="仿宋_GB2312" w:cs="仿宋_GB2312"/>
          <w:sz w:val="32"/>
        </w:rPr>
        <w:t>农村厕所“用得上、用得好、用得久”</w:t>
      </w:r>
      <w:r>
        <w:rPr>
          <w:rFonts w:hint="eastAsia" w:ascii="仿宋_GB2312" w:hAnsi="仿宋_GB2312" w:eastAsia="仿宋_GB2312" w:cs="仿宋_GB2312"/>
          <w:sz w:val="32"/>
        </w:rPr>
        <w:t>。</w:t>
      </w:r>
    </w:p>
    <w:p>
      <w:pPr>
        <w:snapToGrid w:val="0"/>
        <w:spacing w:line="600" w:lineRule="exact"/>
        <w:ind w:firstLine="643" w:firstLineChars="200"/>
        <w:rPr>
          <w:rFonts w:ascii="瀹嬩綋" w:hAnsi="瀹嬩綋" w:eastAsia="瀹嬩綋" w:cs="瀹嬩綋"/>
          <w:color w:val="000000"/>
          <w:sz w:val="24"/>
          <w:shd w:val="clear" w:color="auto" w:fill="FFFFFF"/>
        </w:rPr>
      </w:pPr>
      <w:r>
        <w:rPr>
          <w:rFonts w:hint="eastAsia" w:ascii="Times New Roman" w:eastAsia="仿宋_GB2312"/>
          <w:b/>
          <w:bCs/>
          <w:sz w:val="32"/>
        </w:rPr>
        <w:t>持续优化生态环境，确保法责到位。</w:t>
      </w:r>
      <w:r>
        <w:rPr>
          <w:rFonts w:hint="eastAsia" w:ascii="仿宋_GB2312" w:hAnsi="仿宋_GB2312" w:eastAsia="仿宋_GB2312" w:cs="仿宋_GB2312"/>
          <w:sz w:val="32"/>
        </w:rPr>
        <w:t>全力维护自然资源领域管理秩序，</w:t>
      </w:r>
      <w:r>
        <w:rPr>
          <w:rFonts w:hint="eastAsia" w:ascii="Times New Roman" w:eastAsia="仿宋_GB2312"/>
          <w:sz w:val="32"/>
        </w:rPr>
        <w:t>严厉打击</w:t>
      </w:r>
      <w:r>
        <w:rPr>
          <w:rFonts w:hint="eastAsia" w:ascii="仿宋_GB2312" w:hAnsi="仿宋_GB2312" w:eastAsia="仿宋_GB2312" w:cs="仿宋_GB2312"/>
          <w:sz w:val="32"/>
        </w:rPr>
        <w:t>乱占耕地建房、非法占用林地、违法违规用海等行为</w:t>
      </w:r>
      <w:r>
        <w:rPr>
          <w:rFonts w:hint="eastAsia" w:ascii="Times New Roman" w:eastAsia="仿宋_GB2312"/>
          <w:sz w:val="32"/>
        </w:rPr>
        <w:t>。全面推行林长制。</w:t>
      </w:r>
      <w:r>
        <w:rPr>
          <w:rFonts w:hint="eastAsia" w:ascii="仿宋_GB2312" w:hAnsi="仿宋_GB2312" w:eastAsia="仿宋_GB2312" w:cs="仿宋_GB2312"/>
          <w:sz w:val="32"/>
        </w:rPr>
        <w:t>完成营造林2000亩、森林抚育9000亩、“四旁</w:t>
      </w:r>
      <w:r>
        <w:rPr>
          <w:rFonts w:hint="eastAsia" w:ascii="仿宋_GB2312" w:hAnsi="仿宋_GB2312" w:eastAsia="仿宋_GB2312" w:cs="仿宋_GB2312"/>
          <w:sz w:val="24"/>
          <w:szCs w:val="24"/>
          <w:vertAlign w:val="superscript"/>
        </w:rPr>
        <w:t>㉒</w:t>
      </w:r>
      <w:r>
        <w:rPr>
          <w:rFonts w:hint="eastAsia" w:ascii="仿宋_GB2312" w:hAnsi="仿宋_GB2312" w:eastAsia="仿宋_GB2312" w:cs="仿宋_GB2312"/>
          <w:sz w:val="32"/>
        </w:rPr>
        <w:t>”植树30万株。</w:t>
      </w:r>
      <w:r>
        <w:rPr>
          <w:rFonts w:hint="eastAsia" w:ascii="Times New Roman" w:eastAsia="仿宋_GB2312"/>
          <w:sz w:val="32"/>
        </w:rPr>
        <w:t>实行生态护林网格化管理，</w:t>
      </w:r>
      <w:r>
        <w:rPr>
          <w:rFonts w:ascii="仿宋_GB2312" w:hAnsi="仿宋_GB2312" w:eastAsia="仿宋_GB2312" w:cs="仿宋_GB2312"/>
          <w:sz w:val="32"/>
        </w:rPr>
        <w:t>打通森林</w:t>
      </w:r>
      <w:bookmarkStart w:id="3" w:name="baidusnap7"/>
      <w:bookmarkEnd w:id="3"/>
      <w:r>
        <w:rPr>
          <w:rFonts w:ascii="仿宋_GB2312" w:hAnsi="仿宋_GB2312" w:eastAsia="仿宋_GB2312" w:cs="仿宋_GB2312"/>
          <w:sz w:val="32"/>
        </w:rPr>
        <w:t>火灾预防“最后一公里”</w:t>
      </w:r>
      <w:r>
        <w:rPr>
          <w:rFonts w:hint="eastAsia" w:ascii="仿宋_GB2312" w:hAnsi="仿宋_GB2312" w:eastAsia="仿宋_GB2312" w:cs="仿宋_GB2312"/>
          <w:sz w:val="32"/>
        </w:rPr>
        <w:t>。</w:t>
      </w:r>
      <w:r>
        <w:rPr>
          <w:rFonts w:ascii="仿宋_GB2312" w:hAnsi="仿宋_GB2312" w:eastAsia="仿宋_GB2312" w:cs="仿宋_GB2312"/>
          <w:sz w:val="32"/>
        </w:rPr>
        <w:t> </w:t>
      </w:r>
      <w:r>
        <w:rPr>
          <w:rFonts w:hint="eastAsia" w:ascii="Times New Roman" w:eastAsia="仿宋_GB2312"/>
          <w:sz w:val="32"/>
        </w:rPr>
        <w:t>严格落实河（库）长制，保持全市河段生态保护与治理责任的全覆盖，常态化推进河湖</w:t>
      </w:r>
      <w:r>
        <w:rPr>
          <w:rFonts w:hint="eastAsia" w:ascii="仿宋_GB2312" w:hAnsi="仿宋_GB2312" w:eastAsia="仿宋_GB2312" w:cs="仿宋_GB2312"/>
          <w:sz w:val="32"/>
        </w:rPr>
        <w:t>“清四乱</w:t>
      </w:r>
      <w:r>
        <w:rPr>
          <w:rFonts w:hint="eastAsia" w:ascii="仿宋_GB2312" w:hAnsi="仿宋_GB2312" w:eastAsia="仿宋_GB2312" w:cs="仿宋_GB2312"/>
          <w:sz w:val="24"/>
          <w:szCs w:val="24"/>
          <w:vertAlign w:val="superscript"/>
        </w:rPr>
        <w:t>㉓</w:t>
      </w:r>
      <w:r>
        <w:rPr>
          <w:rFonts w:hint="eastAsia" w:ascii="仿宋_GB2312" w:hAnsi="仿宋_GB2312" w:eastAsia="仿宋_GB2312" w:cs="仿宋_GB2312"/>
          <w:sz w:val="32"/>
        </w:rPr>
        <w:t>”</w:t>
      </w:r>
      <w:r>
        <w:rPr>
          <w:rFonts w:hint="eastAsia" w:ascii="Times New Roman" w:eastAsia="仿宋_GB2312"/>
          <w:sz w:val="32"/>
        </w:rPr>
        <w:t>，</w:t>
      </w:r>
      <w:r>
        <w:rPr>
          <w:rFonts w:hint="eastAsia" w:ascii="仿宋_GB2312" w:hAnsi="仿宋_GB2312" w:eastAsia="仿宋_GB2312" w:cs="仿宋_GB2312"/>
          <w:sz w:val="32"/>
        </w:rPr>
        <w:t>完成水库、堤坝维修等水利工程12项，确保河湖面貌持续改善。</w:t>
      </w:r>
    </w:p>
    <w:p>
      <w:pPr>
        <w:pStyle w:val="2"/>
        <w:snapToGrid w:val="0"/>
        <w:spacing w:line="600" w:lineRule="exact"/>
        <w:ind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（七）着力保障和改善民生，不断满足人民群众对美好生活新期待</w:t>
      </w:r>
    </w:p>
    <w:p>
      <w:pPr>
        <w:pStyle w:val="2"/>
        <w:snapToGrid w:val="0"/>
        <w:spacing w:line="60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兜住民生底线，做实民生保障。</w:t>
      </w:r>
      <w:r>
        <w:rPr>
          <w:rFonts w:hint="eastAsia" w:ascii="仿宋_GB2312" w:hAnsi="仿宋_GB2312" w:eastAsia="仿宋_GB2312" w:cs="仿宋_GB2312"/>
          <w:sz w:val="32"/>
          <w:szCs w:val="32"/>
        </w:rPr>
        <w:t>最大限度保障就业，</w:t>
      </w:r>
      <w:r>
        <w:rPr>
          <w:rFonts w:hint="eastAsia" w:ascii="仿宋_GB2312" w:eastAsia="仿宋_GB2312"/>
          <w:sz w:val="32"/>
          <w:szCs w:val="32"/>
        </w:rPr>
        <w:t>确保城镇登记失业率控制在3.5%以内。稳步提高社保待遇标准，健全城乡低收入群体精准识别机制，完善分层分类、城乡统筹的社会救助体系，切实兜住因病、因灾致贫等困难群众基本生活底线。提升关爱妇女儿童工作水平，完善帮扶残疾人、孤儿等社会福利制度，做好优生优育服务工作。大力推动慈善事业发展。支持退役军人服务保障体系建设，维护军人军属合法权益。</w:t>
      </w:r>
    </w:p>
    <w:p>
      <w:pPr>
        <w:pStyle w:val="2"/>
        <w:snapToGrid w:val="0"/>
        <w:spacing w:line="600" w:lineRule="exact"/>
        <w:ind w:firstLine="643"/>
        <w:rPr>
          <w:rFonts w:ascii="仿宋_GB2312" w:eastAsia="仿宋_GB2312"/>
          <w:sz w:val="32"/>
          <w:szCs w:val="32"/>
        </w:rPr>
      </w:pPr>
      <w:r>
        <w:rPr>
          <w:rFonts w:hint="eastAsia" w:ascii="仿宋_GB2312" w:eastAsia="仿宋_GB2312"/>
          <w:b/>
          <w:bCs/>
          <w:sz w:val="32"/>
          <w:szCs w:val="32"/>
        </w:rPr>
        <w:t>关心群众冷暖，办好民生实事。</w:t>
      </w:r>
      <w:r>
        <w:rPr>
          <w:rFonts w:hint="eastAsia" w:ascii="仿宋_GB2312" w:eastAsia="仿宋_GB2312"/>
          <w:sz w:val="32"/>
          <w:szCs w:val="32"/>
        </w:rPr>
        <w:t>围绕群众急难愁盼问题，精心组织实施10项重点民生工程项目。开展</w:t>
      </w:r>
      <w:r>
        <w:rPr>
          <w:rFonts w:hint="eastAsia" w:ascii="仿宋_GB2312" w:hAnsi="仿宋_GB2312" w:eastAsia="仿宋_GB2312" w:cs="仿宋_GB2312"/>
          <w:sz w:val="32"/>
          <w:szCs w:val="32"/>
        </w:rPr>
        <w:t>木兰小区、城关小区和兴达小区三个老旧小区改造。</w:t>
      </w:r>
      <w:r>
        <w:rPr>
          <w:rFonts w:hint="eastAsia" w:ascii="仿宋_GB2312" w:eastAsia="仿宋_GB2312"/>
          <w:sz w:val="32"/>
          <w:szCs w:val="32"/>
        </w:rPr>
        <w:t>加速推进既有住宅加装电梯。</w:t>
      </w:r>
      <w:r>
        <w:rPr>
          <w:rFonts w:hint="eastAsia" w:ascii="仿宋_GB2312" w:hAnsi="仿宋_GB2312" w:eastAsia="仿宋_GB2312" w:cs="仿宋_GB2312"/>
          <w:sz w:val="32"/>
          <w:szCs w:val="32"/>
        </w:rPr>
        <w:t>新改建城市公厕3座。继续做好农村危房改造和农村安全饮水工程。广泛开展</w:t>
      </w:r>
      <w:r>
        <w:rPr>
          <w:rFonts w:ascii="仿宋_GB2312" w:hAnsi="仿宋_GB2312" w:eastAsia="仿宋_GB2312" w:cs="仿宋_GB2312"/>
          <w:sz w:val="32"/>
          <w:szCs w:val="32"/>
        </w:rPr>
        <w:t>送戏下乡、文艺汇演等文化惠民活动</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不断丰富群众精神文化生活。</w:t>
      </w:r>
      <w:r>
        <w:rPr>
          <w:rFonts w:hint="eastAsia" w:ascii="仿宋_GB2312" w:hAnsi="仿宋_GB2312" w:eastAsia="仿宋_GB2312" w:cs="仿宋_GB2312"/>
          <w:sz w:val="32"/>
          <w:szCs w:val="32"/>
        </w:rPr>
        <w:t>开展全民健身计划，让更多群众拥有健康体魄。</w:t>
      </w:r>
      <w:r>
        <w:rPr>
          <w:rFonts w:hint="eastAsia" w:ascii="仿宋_GB2312" w:eastAsia="仿宋_GB2312"/>
          <w:sz w:val="32"/>
          <w:szCs w:val="32"/>
        </w:rPr>
        <w:t>坚持房住不炒的定位，支持商品房市场更好满足购房者的合理需求，促进房地产业良性循环和健康发展。</w:t>
      </w:r>
    </w:p>
    <w:p>
      <w:pPr>
        <w:pStyle w:val="2"/>
        <w:snapToGrid w:val="0"/>
        <w:spacing w:line="600" w:lineRule="exact"/>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统筹发展社会事业，推进公共服务优质均衡发展。</w:t>
      </w:r>
      <w:r>
        <w:rPr>
          <w:rFonts w:hint="eastAsia" w:ascii="仿宋_GB2312" w:hAnsi="仿宋_GB2312" w:eastAsia="仿宋_GB2312" w:cs="仿宋_GB2312"/>
          <w:sz w:val="32"/>
          <w:szCs w:val="32"/>
        </w:rPr>
        <w:t>加快提升“双减”工作实效，</w:t>
      </w:r>
      <w:r>
        <w:rPr>
          <w:rFonts w:hint="eastAsia" w:ascii="仿宋_GB2312" w:hAnsi="仿宋_GB2312" w:eastAsia="仿宋_GB2312" w:cs="仿宋_GB2312"/>
          <w:sz w:val="32"/>
        </w:rPr>
        <w:t>加强校外培训机构规范化管理</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szCs w:val="32"/>
        </w:rPr>
        <w:t>推进义务教育优质均衡发展。新增公办普惠性学前学位180个。完成桃源、德贤等学校建设和3所中小学扩建。深化紧密型医共体和医联体建设，</w:t>
      </w:r>
      <w:r>
        <w:rPr>
          <w:rFonts w:hint="eastAsia" w:ascii="仿宋_GB2312" w:hAnsi="仿宋_GB2312" w:eastAsia="仿宋_GB2312" w:cs="仿宋_GB2312"/>
          <w:sz w:val="32"/>
        </w:rPr>
        <w:t>完成市第二人民医院和蓉花山地区中心卫生院2个区域医疗中心试点建设，力争县域就诊率达90%以上。鼓励社会多方力量积极开办</w:t>
      </w:r>
      <w:r>
        <w:rPr>
          <w:rFonts w:ascii="仿宋_GB2312" w:hAnsi="仿宋_GB2312" w:eastAsia="仿宋_GB2312" w:cs="仿宋_GB2312"/>
          <w:sz w:val="32"/>
        </w:rPr>
        <w:t>普惠性托育机构</w:t>
      </w:r>
      <w:r>
        <w:rPr>
          <w:rFonts w:hint="eastAsia" w:ascii="仿宋_GB2312" w:hAnsi="仿宋_GB2312" w:eastAsia="仿宋_GB2312" w:cs="仿宋_GB2312"/>
          <w:sz w:val="32"/>
        </w:rPr>
        <w:t>。</w:t>
      </w:r>
      <w:r>
        <w:rPr>
          <w:rFonts w:hint="eastAsia" w:ascii="仿宋_GB2312" w:eastAsia="仿宋_GB2312"/>
          <w:sz w:val="32"/>
          <w:szCs w:val="32"/>
        </w:rPr>
        <w:t>支持社会资本参与养老服务产业，着力提升养老服务供给质量。</w:t>
      </w:r>
    </w:p>
    <w:p>
      <w:pPr>
        <w:pStyle w:val="2"/>
        <w:snapToGrid w:val="0"/>
        <w:spacing w:line="60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筑牢安全稳定防线，推动风险化解和社会治理。</w:t>
      </w:r>
      <w:r>
        <w:rPr>
          <w:rFonts w:hint="eastAsia" w:ascii="仿宋_GB2312" w:hAnsi="仿宋_GB2312" w:eastAsia="仿宋_GB2312" w:cs="仿宋_GB2312"/>
          <w:sz w:val="32"/>
          <w:szCs w:val="32"/>
        </w:rPr>
        <w:t>坚决打好中小银行不良资产清收挽损攻坚战，做好金融机构风险化解。</w:t>
      </w:r>
      <w:r>
        <w:rPr>
          <w:rFonts w:hint="eastAsia" w:ascii="仿宋_GB2312" w:hAnsi="仿宋_GB2312" w:eastAsia="仿宋_GB2312" w:cs="仿宋_GB2312"/>
          <w:sz w:val="32"/>
        </w:rPr>
        <w:t>积极防范债务风险，兜牢</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三保</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底线</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szCs w:val="32"/>
        </w:rPr>
        <w:t>启动13个社会工作站</w:t>
      </w:r>
      <w:r>
        <w:rPr>
          <w:rFonts w:hint="eastAsia" w:ascii="仿宋_GB2312" w:hAnsi="仿宋_GB2312" w:eastAsia="仿宋_GB2312" w:cs="仿宋_GB2312"/>
          <w:sz w:val="24"/>
          <w:szCs w:val="24"/>
          <w:vertAlign w:val="superscript"/>
        </w:rPr>
        <w:t>㉔</w:t>
      </w:r>
      <w:r>
        <w:rPr>
          <w:rFonts w:hint="eastAsia" w:ascii="仿宋_GB2312" w:hAnsi="仿宋_GB2312" w:eastAsia="仿宋_GB2312" w:cs="仿宋_GB2312"/>
          <w:sz w:val="32"/>
          <w:szCs w:val="32"/>
        </w:rPr>
        <w:t>建设。全面推进危化品、城镇燃气、道路交通、建筑施工等重点行业专项治理，强化校园及校车、食品药品等重点民生领域安全监管，坚决遏制较大安全生产事故发生。强化人工影响天气基础设施建设，提升综合防灾减灾能力。深入开展“八五”普法，持续提升公民法治素养和社会治理法治化水平。大力推行新时代“枫桥经验”，完善人民调解、行政调解、司法调解联动机制，实现群众合理诉求应办尽办。着力完善社会治安防控体系，常态化推进扫黑除恶，持续加强治安整治，严厉打击违法犯罪行为，坚决维护社会和谐稳定。</w:t>
      </w:r>
    </w:p>
    <w:p>
      <w:pPr>
        <w:pStyle w:val="2"/>
        <w:snapToGrid w:val="0"/>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继续做好民族宗教、外事、人防、供销、档案、气象、供电、通信、双拥、海关、边检、消防、仲裁、残疾事业、广播电视、民兵预备役和边海防等工作。</w:t>
      </w:r>
    </w:p>
    <w:p>
      <w:pPr>
        <w:snapToGrid w:val="0"/>
        <w:spacing w:line="6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（八）全面提升施政能力和服务水平，不断开创政府工作新局面</w:t>
      </w:r>
    </w:p>
    <w:p>
      <w:pPr>
        <w:snapToGrid w:val="0"/>
        <w:spacing w:line="600" w:lineRule="exact"/>
        <w:ind w:firstLine="643" w:firstLineChars="200"/>
        <w:rPr>
          <w:rFonts w:ascii="仿宋_GB2312" w:hAnsi="仿宋_GB2312" w:eastAsia="仿宋_GB2312" w:cs="仿宋_GB2312"/>
          <w:sz w:val="32"/>
        </w:rPr>
      </w:pPr>
      <w:r>
        <w:rPr>
          <w:rFonts w:hint="eastAsia" w:ascii="仿宋_GB2312" w:hAnsi="仿宋_GB2312" w:eastAsia="仿宋_GB2312" w:cs="仿宋_GB2312"/>
          <w:b/>
          <w:bCs/>
          <w:sz w:val="32"/>
        </w:rPr>
        <w:t>坚持党的领导，打造有为政府。</w:t>
      </w:r>
      <w:r>
        <w:rPr>
          <w:rFonts w:hint="eastAsia" w:ascii="仿宋_GB2312" w:hAnsi="仿宋_GB2312" w:eastAsia="仿宋_GB2312" w:cs="仿宋_GB2312"/>
          <w:sz w:val="32"/>
        </w:rPr>
        <w:t>持续巩固深化“党史学习教育”成果，大力弘扬伟大建党精神，勇于自我革命，</w:t>
      </w:r>
      <w:r>
        <w:rPr>
          <w:rFonts w:ascii="仿宋_GB2312" w:hAnsi="仿宋_GB2312" w:eastAsia="仿宋_GB2312" w:cs="仿宋_GB2312"/>
          <w:sz w:val="32"/>
        </w:rPr>
        <w:t>不断提高政治判断力、政治领悟力、政治执行力，确保政府各项工作始终沿着正确政治方向前进。坚持把党建工作</w:t>
      </w:r>
      <w:r>
        <w:rPr>
          <w:rFonts w:hint="eastAsia" w:ascii="仿宋_GB2312" w:hAnsi="仿宋_GB2312" w:eastAsia="仿宋_GB2312" w:cs="仿宋_GB2312"/>
          <w:sz w:val="32"/>
        </w:rPr>
        <w:t>、意识形态工作</w:t>
      </w:r>
      <w:r>
        <w:rPr>
          <w:rFonts w:ascii="仿宋_GB2312" w:hAnsi="仿宋_GB2312" w:eastAsia="仿宋_GB2312" w:cs="仿宋_GB2312"/>
          <w:sz w:val="32"/>
        </w:rPr>
        <w:t>与政府工作同谋划、同部署、同落实，更高水平推动政府各项工作开展</w:t>
      </w:r>
      <w:r>
        <w:rPr>
          <w:rFonts w:hint="eastAsia" w:ascii="仿宋_GB2312" w:hAnsi="仿宋_GB2312" w:eastAsia="仿宋_GB2312" w:cs="仿宋_GB2312"/>
          <w:sz w:val="32"/>
        </w:rPr>
        <w:t>，以工作实绩体现增强“四个意识”、坚定“四个自信”、做到“两个维护”。</w:t>
      </w:r>
    </w:p>
    <w:p>
      <w:pPr>
        <w:snapToGrid w:val="0"/>
        <w:spacing w:line="600" w:lineRule="exact"/>
        <w:ind w:firstLine="643" w:firstLineChars="200"/>
        <w:rPr>
          <w:rFonts w:ascii="仿宋_GB2312" w:hAnsi="仿宋_GB2312" w:eastAsia="仿宋_GB2312" w:cs="仿宋_GB2312"/>
          <w:sz w:val="32"/>
        </w:rPr>
      </w:pPr>
      <w:r>
        <w:rPr>
          <w:rFonts w:ascii="仿宋_GB2312" w:hAnsi="仿宋_GB2312" w:eastAsia="仿宋_GB2312" w:cs="仿宋_GB2312"/>
          <w:b/>
          <w:bCs/>
          <w:sz w:val="32"/>
        </w:rPr>
        <w:t>坚持依法行政，</w:t>
      </w:r>
      <w:r>
        <w:rPr>
          <w:rFonts w:hint="eastAsia" w:ascii="仿宋_GB2312" w:hAnsi="仿宋_GB2312" w:eastAsia="仿宋_GB2312" w:cs="仿宋_GB2312"/>
          <w:b/>
          <w:bCs/>
          <w:sz w:val="32"/>
        </w:rPr>
        <w:t>打造</w:t>
      </w:r>
      <w:r>
        <w:rPr>
          <w:rFonts w:ascii="仿宋_GB2312" w:hAnsi="仿宋_GB2312" w:eastAsia="仿宋_GB2312" w:cs="仿宋_GB2312"/>
          <w:b/>
          <w:bCs/>
          <w:sz w:val="32"/>
        </w:rPr>
        <w:t>法治</w:t>
      </w:r>
      <w:r>
        <w:rPr>
          <w:rFonts w:hint="eastAsia" w:ascii="仿宋_GB2312" w:hAnsi="仿宋_GB2312" w:eastAsia="仿宋_GB2312" w:cs="仿宋_GB2312"/>
          <w:b/>
          <w:bCs/>
          <w:sz w:val="32"/>
        </w:rPr>
        <w:t>政府</w:t>
      </w:r>
      <w:r>
        <w:rPr>
          <w:rFonts w:ascii="仿宋_GB2312" w:hAnsi="仿宋_GB2312" w:eastAsia="仿宋_GB2312" w:cs="仿宋_GB2312"/>
          <w:b/>
          <w:bCs/>
          <w:sz w:val="32"/>
        </w:rPr>
        <w:t>。</w:t>
      </w:r>
      <w:r>
        <w:rPr>
          <w:rFonts w:hint="eastAsia" w:ascii="仿宋_GB2312" w:hAnsi="仿宋_GB2312" w:eastAsia="仿宋_GB2312" w:cs="仿宋_GB2312"/>
          <w:sz w:val="32"/>
        </w:rPr>
        <w:t>坚持</w:t>
      </w:r>
      <w:r>
        <w:rPr>
          <w:rFonts w:ascii="仿宋_GB2312" w:hAnsi="仿宋_GB2312" w:eastAsia="仿宋_GB2312" w:cs="仿宋_GB2312"/>
          <w:sz w:val="32"/>
        </w:rPr>
        <w:t>公正文明执法</w:t>
      </w:r>
      <w:r>
        <w:rPr>
          <w:rFonts w:hint="eastAsia" w:ascii="仿宋_GB2312" w:hAnsi="仿宋_GB2312" w:eastAsia="仿宋_GB2312" w:cs="仿宋_GB2312"/>
          <w:sz w:val="32"/>
        </w:rPr>
        <w:t>，</w:t>
      </w:r>
      <w:r>
        <w:rPr>
          <w:rFonts w:ascii="仿宋_GB2312" w:hAnsi="仿宋_GB2312" w:eastAsia="仿宋_GB2312" w:cs="仿宋_GB2312"/>
          <w:sz w:val="32"/>
        </w:rPr>
        <w:t>规范行政决策程序，</w:t>
      </w:r>
      <w:r>
        <w:rPr>
          <w:rFonts w:hint="eastAsia" w:ascii="仿宋_GB2312" w:hAnsi="仿宋_GB2312" w:eastAsia="仿宋_GB2312" w:cs="仿宋_GB2312"/>
          <w:sz w:val="32"/>
        </w:rPr>
        <w:t>积极运用法治思维和法治方式深化改革、推动发展、化解矛盾、维护稳定</w:t>
      </w:r>
      <w:r>
        <w:rPr>
          <w:rFonts w:ascii="仿宋_GB2312" w:hAnsi="仿宋_GB2312" w:eastAsia="仿宋_GB2312" w:cs="仿宋_GB2312"/>
          <w:sz w:val="32"/>
        </w:rPr>
        <w:t>。自觉接受人大监督、民主监督、监察监督、社会监督，严格执行人大决议决定，认真做好人大代表建议和政协</w:t>
      </w:r>
      <w:r>
        <w:rPr>
          <w:rFonts w:hint="eastAsia" w:ascii="仿宋_GB2312" w:hAnsi="仿宋_GB2312" w:eastAsia="仿宋_GB2312" w:cs="仿宋_GB2312"/>
          <w:sz w:val="32"/>
        </w:rPr>
        <w:t>委员</w:t>
      </w:r>
      <w:r>
        <w:rPr>
          <w:rFonts w:ascii="仿宋_GB2312" w:hAnsi="仿宋_GB2312" w:eastAsia="仿宋_GB2312" w:cs="仿宋_GB2312"/>
          <w:sz w:val="32"/>
        </w:rPr>
        <w:t>提案办理。</w:t>
      </w:r>
      <w:r>
        <w:rPr>
          <w:rFonts w:hint="eastAsia" w:ascii="仿宋_GB2312" w:hAnsi="仿宋_GB2312" w:eastAsia="仿宋_GB2312" w:cs="仿宋_GB2312"/>
          <w:sz w:val="32"/>
        </w:rPr>
        <w:t>全面推进政务公开，深化</w:t>
      </w:r>
      <w:r>
        <w:rPr>
          <w:rFonts w:ascii="仿宋_GB2312" w:hAnsi="仿宋_GB2312" w:eastAsia="仿宋_GB2312" w:cs="仿宋_GB2312"/>
          <w:sz w:val="32"/>
        </w:rPr>
        <w:t>政府权责清单制度，做到承诺有度、承诺有信</w:t>
      </w:r>
      <w:r>
        <w:rPr>
          <w:rFonts w:hint="eastAsia" w:ascii="仿宋_GB2312" w:hAnsi="仿宋_GB2312" w:eastAsia="仿宋_GB2312" w:cs="仿宋_GB2312"/>
          <w:sz w:val="32"/>
        </w:rPr>
        <w:t>，倾力打造诚信政府</w:t>
      </w:r>
      <w:r>
        <w:rPr>
          <w:rFonts w:ascii="仿宋_GB2312" w:hAnsi="仿宋_GB2312" w:eastAsia="仿宋_GB2312" w:cs="仿宋_GB2312"/>
          <w:sz w:val="32"/>
        </w:rPr>
        <w:t>。</w:t>
      </w:r>
    </w:p>
    <w:p>
      <w:pPr>
        <w:snapToGrid w:val="0"/>
        <w:spacing w:line="600" w:lineRule="exact"/>
        <w:ind w:firstLine="643" w:firstLineChars="200"/>
        <w:rPr>
          <w:rFonts w:ascii="仿宋_GB2312" w:hAnsi="仿宋_GB2312" w:eastAsia="仿宋_GB2312" w:cs="仿宋_GB2312"/>
          <w:sz w:val="32"/>
        </w:rPr>
      </w:pPr>
      <w:r>
        <w:rPr>
          <w:rFonts w:hint="eastAsia" w:ascii="仿宋_GB2312" w:hAnsi="仿宋_GB2312" w:eastAsia="仿宋_GB2312" w:cs="仿宋_GB2312"/>
          <w:b/>
          <w:bCs/>
          <w:sz w:val="32"/>
        </w:rPr>
        <w:t>坚持改进作风，打造高效政府。</w:t>
      </w:r>
      <w:r>
        <w:rPr>
          <w:rFonts w:hint="eastAsia" w:ascii="仿宋_GB2312" w:hAnsi="仿宋_GB2312" w:eastAsia="仿宋_GB2312" w:cs="仿宋_GB2312"/>
          <w:sz w:val="32"/>
        </w:rPr>
        <w:t>改进推动高质量发展的绩效考核，</w:t>
      </w:r>
      <w:r>
        <w:rPr>
          <w:rFonts w:ascii="仿宋_GB2312" w:hAnsi="仿宋_GB2312" w:eastAsia="仿宋_GB2312" w:cs="仿宋_GB2312"/>
          <w:sz w:val="32"/>
        </w:rPr>
        <w:t>树立“以干成事论英雄、以解决实际问题论能力、以高质量发展项目和高水平制度创新成果论业绩”的鲜明导向</w:t>
      </w:r>
      <w:r>
        <w:rPr>
          <w:rFonts w:hint="eastAsia" w:ascii="仿宋_GB2312" w:hAnsi="仿宋_GB2312" w:eastAsia="仿宋_GB2312" w:cs="仿宋_GB2312"/>
          <w:sz w:val="32"/>
        </w:rPr>
        <w:t>。强化政务服务</w:t>
      </w:r>
      <w:r>
        <w:rPr>
          <w:rFonts w:ascii="仿宋_GB2312" w:hAnsi="仿宋_GB2312" w:eastAsia="仿宋_GB2312" w:cs="仿宋_GB2312"/>
          <w:sz w:val="32"/>
        </w:rPr>
        <w:t>“好差评”结果运用，推动群众关切问题有效解决。</w:t>
      </w:r>
      <w:r>
        <w:rPr>
          <w:rFonts w:hint="eastAsia" w:ascii="仿宋_GB2312" w:hAnsi="仿宋_GB2312" w:eastAsia="仿宋_GB2312" w:cs="仿宋_GB2312"/>
          <w:sz w:val="32"/>
        </w:rPr>
        <w:t>弘扬“时间就是金钱、效率就是生命”的精神，用政府“辛苦指数”换取人民群众“幸福指数”。</w:t>
      </w:r>
    </w:p>
    <w:p>
      <w:pPr>
        <w:snapToGrid w:val="0"/>
        <w:spacing w:line="600" w:lineRule="exact"/>
        <w:ind w:firstLine="643" w:firstLineChars="200"/>
        <w:rPr>
          <w:rFonts w:ascii="仿宋_GB2312" w:hAnsi="仿宋_GB2312" w:eastAsia="仿宋_GB2312" w:cs="仿宋_GB2312"/>
          <w:sz w:val="32"/>
        </w:rPr>
      </w:pPr>
      <w:r>
        <w:rPr>
          <w:rFonts w:hint="eastAsia" w:ascii="仿宋_GB2312" w:hAnsi="仿宋_GB2312" w:eastAsia="仿宋_GB2312" w:cs="仿宋_GB2312"/>
          <w:b/>
          <w:bCs/>
          <w:sz w:val="32"/>
        </w:rPr>
        <w:t>坚持反腐倡廉，打造廉洁政府</w:t>
      </w:r>
      <w:r>
        <w:rPr>
          <w:rFonts w:ascii="仿宋_GB2312" w:hAnsi="仿宋_GB2312" w:eastAsia="仿宋_GB2312" w:cs="仿宋_GB2312"/>
          <w:b/>
          <w:bCs/>
          <w:sz w:val="32"/>
        </w:rPr>
        <w:t>。</w:t>
      </w:r>
      <w:r>
        <w:rPr>
          <w:rFonts w:ascii="仿宋_GB2312" w:hAnsi="仿宋_GB2312" w:eastAsia="仿宋_GB2312" w:cs="仿宋_GB2312"/>
          <w:sz w:val="32"/>
        </w:rPr>
        <w:t>落实全面从严治党主体责任，认真抓好政府系统党风廉政建设，强化审计监督结果运用，加大对国有资产、行政审批、工程建设等监管力度。锲而不舍落实中央八项规定</w:t>
      </w:r>
      <w:r>
        <w:rPr>
          <w:rFonts w:hint="eastAsia" w:ascii="仿宋_GB2312" w:hAnsi="仿宋_GB2312" w:eastAsia="仿宋_GB2312" w:cs="仿宋_GB2312"/>
          <w:sz w:val="32"/>
        </w:rPr>
        <w:t>精神</w:t>
      </w:r>
      <w:r>
        <w:rPr>
          <w:rFonts w:ascii="仿宋_GB2312" w:hAnsi="仿宋_GB2312" w:eastAsia="仿宋_GB2312" w:cs="仿宋_GB2312"/>
          <w:sz w:val="32"/>
        </w:rPr>
        <w:t>，驰而不息纠治形式主义、官僚主义。</w:t>
      </w:r>
      <w:r>
        <w:rPr>
          <w:rFonts w:hint="eastAsia" w:ascii="仿宋_GB2312" w:hAnsi="仿宋_GB2312" w:eastAsia="仿宋_GB2312" w:cs="仿宋_GB2312"/>
          <w:sz w:val="32"/>
        </w:rPr>
        <w:t>坚持</w:t>
      </w:r>
      <w:r>
        <w:rPr>
          <w:rFonts w:ascii="仿宋_GB2312" w:hAnsi="仿宋_GB2312" w:eastAsia="仿宋_GB2312" w:cs="仿宋_GB2312"/>
          <w:sz w:val="32"/>
        </w:rPr>
        <w:t>厉行节约</w:t>
      </w:r>
      <w:r>
        <w:rPr>
          <w:rFonts w:hint="eastAsia" w:ascii="仿宋_GB2312" w:hAnsi="仿宋_GB2312" w:eastAsia="仿宋_GB2312" w:cs="仿宋_GB2312"/>
          <w:sz w:val="32"/>
        </w:rPr>
        <w:t>，</w:t>
      </w:r>
      <w:r>
        <w:rPr>
          <w:rFonts w:ascii="仿宋_GB2312" w:hAnsi="仿宋_GB2312" w:eastAsia="仿宋_GB2312" w:cs="仿宋_GB2312"/>
          <w:sz w:val="32"/>
        </w:rPr>
        <w:t>反对</w:t>
      </w:r>
      <w:r>
        <w:rPr>
          <w:rFonts w:hint="eastAsia" w:ascii="仿宋_GB2312" w:hAnsi="仿宋_GB2312" w:eastAsia="仿宋_GB2312" w:cs="仿宋_GB2312"/>
          <w:sz w:val="32"/>
        </w:rPr>
        <w:t>铺张</w:t>
      </w:r>
      <w:r>
        <w:rPr>
          <w:rFonts w:ascii="仿宋_GB2312" w:hAnsi="仿宋_GB2312" w:eastAsia="仿宋_GB2312" w:cs="仿宋_GB2312"/>
          <w:sz w:val="32"/>
        </w:rPr>
        <w:t>浪费，把财政资金更多用于为发展增添后劲、为民生雪中送炭，以政府的“紧日子”换得群众的“好日子”。</w:t>
      </w:r>
    </w:p>
    <w:p>
      <w:pPr>
        <w:snapToGrid w:val="0"/>
        <w:spacing w:line="60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各位代表！积力所举无不胜，众志所为无不成。伟大事业始于梦想，成于实干。让我们更加紧密团结在以习近平同志为核心的党中央周围，在市委的坚强领导下，勠力同心、埋头苦干、勇于担当，奋力谱写庄河高质量发展新篇章，以优异成绩迎接党的二十大胜利召开！</w:t>
      </w:r>
    </w:p>
    <w:p>
      <w:pPr>
        <w:widowControl/>
        <w:snapToGrid w:val="0"/>
        <w:spacing w:line="600" w:lineRule="exact"/>
        <w:ind w:firstLine="640" w:firstLineChars="200"/>
        <w:rPr>
          <w:rFonts w:ascii="黑体" w:hAnsi="黑体" w:eastAsia="黑体" w:cs="黑体"/>
          <w:sz w:val="32"/>
          <w:szCs w:val="32"/>
        </w:rPr>
      </w:pPr>
    </w:p>
    <w:p>
      <w:pPr>
        <w:widowControl/>
        <w:snapToGrid w:val="0"/>
        <w:spacing w:line="600" w:lineRule="exact"/>
        <w:ind w:firstLine="640" w:firstLineChars="200"/>
        <w:rPr>
          <w:rFonts w:ascii="黑体" w:hAnsi="黑体" w:eastAsia="黑体" w:cs="黑体"/>
          <w:sz w:val="32"/>
          <w:szCs w:val="32"/>
        </w:rPr>
      </w:pPr>
    </w:p>
    <w:p>
      <w:pPr>
        <w:widowControl/>
        <w:snapToGrid w:val="0"/>
        <w:spacing w:line="600" w:lineRule="exact"/>
        <w:ind w:firstLine="640" w:firstLineChars="200"/>
        <w:rPr>
          <w:rFonts w:ascii="黑体" w:hAnsi="黑体" w:eastAsia="黑体" w:cs="黑体"/>
          <w:sz w:val="32"/>
          <w:szCs w:val="32"/>
        </w:rPr>
      </w:pPr>
    </w:p>
    <w:p>
      <w:pPr>
        <w:widowControl/>
        <w:snapToGrid w:val="0"/>
        <w:spacing w:line="600" w:lineRule="exact"/>
        <w:ind w:firstLine="640" w:firstLineChars="200"/>
        <w:rPr>
          <w:rFonts w:ascii="黑体" w:hAnsi="黑体" w:eastAsia="黑体" w:cs="黑体"/>
          <w:sz w:val="32"/>
          <w:szCs w:val="32"/>
        </w:rPr>
      </w:pPr>
    </w:p>
    <w:p>
      <w:pPr>
        <w:widowControl/>
        <w:snapToGrid w:val="0"/>
        <w:spacing w:line="600" w:lineRule="exact"/>
        <w:ind w:firstLine="640" w:firstLineChars="200"/>
        <w:rPr>
          <w:rFonts w:ascii="黑体" w:hAnsi="黑体" w:eastAsia="黑体" w:cs="黑体"/>
          <w:sz w:val="32"/>
          <w:szCs w:val="32"/>
        </w:rPr>
      </w:pPr>
    </w:p>
    <w:p>
      <w:pPr>
        <w:widowControl/>
        <w:snapToGrid w:val="0"/>
        <w:spacing w:line="600" w:lineRule="exact"/>
        <w:ind w:firstLine="640" w:firstLineChars="200"/>
        <w:rPr>
          <w:rFonts w:ascii="黑体" w:hAnsi="黑体" w:eastAsia="黑体" w:cs="黑体"/>
          <w:sz w:val="32"/>
          <w:szCs w:val="32"/>
        </w:rPr>
      </w:pPr>
    </w:p>
    <w:p>
      <w:pPr>
        <w:widowControl/>
        <w:snapToGrid w:val="0"/>
        <w:spacing w:line="600" w:lineRule="exact"/>
        <w:ind w:firstLine="640" w:firstLineChars="200"/>
        <w:rPr>
          <w:rFonts w:ascii="黑体" w:hAnsi="黑体" w:eastAsia="黑体" w:cs="黑体"/>
          <w:sz w:val="32"/>
          <w:szCs w:val="32"/>
        </w:rPr>
      </w:pPr>
    </w:p>
    <w:p>
      <w:pPr>
        <w:widowControl/>
        <w:snapToGrid w:val="0"/>
        <w:spacing w:line="600" w:lineRule="exact"/>
        <w:ind w:firstLine="640" w:firstLineChars="200"/>
        <w:rPr>
          <w:rFonts w:ascii="黑体" w:hAnsi="黑体" w:eastAsia="黑体" w:cs="黑体"/>
          <w:sz w:val="32"/>
          <w:szCs w:val="32"/>
        </w:rPr>
      </w:pPr>
    </w:p>
    <w:p>
      <w:pPr>
        <w:widowControl/>
        <w:snapToGrid w:val="0"/>
        <w:spacing w:line="600" w:lineRule="exact"/>
        <w:ind w:firstLine="640" w:firstLineChars="200"/>
        <w:rPr>
          <w:rFonts w:ascii="黑体" w:hAnsi="黑体" w:eastAsia="黑体" w:cs="黑体"/>
          <w:sz w:val="32"/>
          <w:szCs w:val="32"/>
        </w:rPr>
      </w:pPr>
    </w:p>
    <w:p>
      <w:pPr>
        <w:pStyle w:val="2"/>
        <w:rPr>
          <w:rFonts w:ascii="黑体" w:hAnsi="黑体" w:eastAsia="黑体" w:cs="黑体"/>
          <w:sz w:val="32"/>
          <w:szCs w:val="32"/>
        </w:rPr>
      </w:pPr>
    </w:p>
    <w:p>
      <w:pPr>
        <w:pStyle w:val="2"/>
        <w:rPr>
          <w:rFonts w:ascii="黑体" w:hAnsi="黑体" w:eastAsia="黑体" w:cs="黑体"/>
          <w:sz w:val="32"/>
          <w:szCs w:val="32"/>
        </w:rPr>
      </w:pPr>
    </w:p>
    <w:p>
      <w:pPr>
        <w:pStyle w:val="2"/>
        <w:rPr>
          <w:rFonts w:ascii="黑体" w:hAnsi="黑体" w:eastAsia="黑体" w:cs="黑体"/>
          <w:sz w:val="32"/>
          <w:szCs w:val="32"/>
        </w:rPr>
      </w:pPr>
    </w:p>
    <w:p>
      <w:pPr>
        <w:pStyle w:val="2"/>
        <w:rPr>
          <w:rFonts w:ascii="黑体" w:hAnsi="黑体" w:eastAsia="黑体" w:cs="黑体"/>
          <w:sz w:val="32"/>
          <w:szCs w:val="32"/>
        </w:rPr>
      </w:pPr>
    </w:p>
    <w:p>
      <w:pPr>
        <w:pStyle w:val="2"/>
        <w:rPr>
          <w:rFonts w:ascii="黑体" w:hAnsi="黑体" w:eastAsia="黑体" w:cs="黑体"/>
          <w:sz w:val="32"/>
          <w:szCs w:val="32"/>
        </w:rPr>
      </w:pPr>
    </w:p>
    <w:p>
      <w:pPr>
        <w:pStyle w:val="2"/>
        <w:rPr>
          <w:rFonts w:ascii="黑体" w:hAnsi="黑体" w:eastAsia="黑体" w:cs="黑体"/>
          <w:sz w:val="32"/>
          <w:szCs w:val="32"/>
        </w:rPr>
      </w:pPr>
      <w:bookmarkStart w:id="4" w:name="_GoBack"/>
      <w:bookmarkEnd w:id="4"/>
    </w:p>
    <w:p>
      <w:pPr>
        <w:widowControl/>
        <w:snapToGrid w:val="0"/>
        <w:spacing w:line="600" w:lineRule="exact"/>
        <w:ind w:firstLine="640" w:firstLineChars="200"/>
        <w:rPr>
          <w:rFonts w:ascii="黑体" w:hAnsi="黑体" w:eastAsia="黑体" w:cs="黑体"/>
          <w:sz w:val="32"/>
          <w:szCs w:val="32"/>
        </w:rPr>
      </w:pPr>
    </w:p>
    <w:p>
      <w:pPr>
        <w:widowControl/>
        <w:snapToGrid w:val="0"/>
        <w:spacing w:line="600" w:lineRule="exact"/>
        <w:ind w:firstLine="640" w:firstLineChars="200"/>
      </w:pPr>
      <w:r>
        <w:rPr>
          <w:rFonts w:hint="eastAsia" w:ascii="黑体" w:hAnsi="黑体" w:eastAsia="黑体" w:cs="黑体"/>
          <w:sz w:val="32"/>
          <w:szCs w:val="32"/>
        </w:rPr>
        <w:t>名词解释</w:t>
      </w:r>
    </w:p>
    <w:p>
      <w:pPr>
        <w:pStyle w:val="7"/>
        <w:spacing w:line="600" w:lineRule="exact"/>
        <w:ind w:firstLine="640" w:firstLineChars="200"/>
        <w:rPr>
          <w:rFonts w:ascii="仿宋_GB2312" w:hAnsi="仿宋_GB2312" w:eastAsia="仿宋_GB2312" w:cs="仿宋_GB2312"/>
          <w:sz w:val="32"/>
          <w:szCs w:val="32"/>
          <w:shd w:val="clear" w:color="auto" w:fill="FFFFFF"/>
        </w:rPr>
      </w:pPr>
      <w:r>
        <w:rPr>
          <w:rFonts w:hint="eastAsia" w:ascii="仿宋_GB2312" w:hAnsi="黑体" w:eastAsia="仿宋_GB2312"/>
          <w:sz w:val="32"/>
          <w:szCs w:val="32"/>
        </w:rPr>
        <w:t>[1]</w:t>
      </w:r>
      <w:r>
        <w:rPr>
          <w:rFonts w:hint="eastAsia" w:ascii="仿宋_GB2312" w:hAnsi="仿宋_GB2312" w:eastAsia="仿宋_GB2312" w:cs="仿宋_GB2312"/>
          <w:b/>
          <w:bCs/>
          <w:sz w:val="32"/>
          <w:szCs w:val="32"/>
        </w:rPr>
        <w:t>研发经费：</w:t>
      </w:r>
      <w:r>
        <w:rPr>
          <w:rFonts w:hint="eastAsia" w:ascii="仿宋_GB2312" w:hAnsi="仿宋_GB2312" w:eastAsia="仿宋_GB2312" w:cs="仿宋_GB2312"/>
          <w:sz w:val="32"/>
          <w:szCs w:val="32"/>
          <w:shd w:val="clear" w:color="auto" w:fill="FFFFFF"/>
        </w:rPr>
        <w:t>企业在产品、技术、材料、工艺、标准的研究、开发过程中发生的各种费用。</w:t>
      </w:r>
    </w:p>
    <w:p>
      <w:pPr>
        <w:pStyle w:val="7"/>
        <w:spacing w:line="600" w:lineRule="exact"/>
        <w:ind w:firstLine="640" w:firstLineChars="200"/>
        <w:rPr>
          <w:rFonts w:ascii="仿宋_GB2312" w:hAnsi="仿宋_GB2312" w:eastAsia="仿宋_GB2312" w:cs="仿宋_GB2312"/>
          <w:sz w:val="32"/>
          <w:szCs w:val="32"/>
          <w:shd w:val="clear" w:color="auto" w:fill="FFFFFF"/>
        </w:rPr>
      </w:pPr>
      <w:r>
        <w:rPr>
          <w:rFonts w:hint="eastAsia" w:ascii="仿宋_GB2312" w:hAnsi="黑体" w:eastAsia="仿宋_GB2312"/>
          <w:sz w:val="32"/>
          <w:szCs w:val="32"/>
        </w:rPr>
        <w:t>[2]</w:t>
      </w:r>
      <w:r>
        <w:rPr>
          <w:rFonts w:hint="eastAsia" w:ascii="仿宋_GB2312" w:hAnsi="仿宋_GB2312" w:eastAsia="仿宋_GB2312" w:cs="仿宋_GB2312"/>
          <w:b/>
          <w:bCs/>
          <w:sz w:val="32"/>
          <w:szCs w:val="32"/>
        </w:rPr>
        <w:t>整村授信：</w:t>
      </w:r>
      <w:r>
        <w:rPr>
          <w:rFonts w:hint="eastAsia" w:ascii="仿宋_GB2312" w:hAnsi="仿宋_GB2312" w:eastAsia="仿宋_GB2312" w:cs="仿宋_GB2312"/>
          <w:sz w:val="32"/>
          <w:szCs w:val="32"/>
          <w:shd w:val="clear" w:color="auto" w:fill="FFFFFF"/>
        </w:rPr>
        <w:t>对整个村庄符合授信条件的客户进行授信；授信是指商业银行向非金融机构客户直接提供的资金。</w:t>
      </w:r>
    </w:p>
    <w:p>
      <w:pPr>
        <w:pStyle w:val="7"/>
        <w:spacing w:line="600" w:lineRule="exact"/>
        <w:ind w:firstLine="640" w:firstLineChars="200"/>
        <w:rPr>
          <w:rFonts w:ascii="仿宋_GB2312" w:hAnsi="仿宋_GB2312" w:eastAsia="仿宋_GB2312" w:cs="仿宋_GB2312"/>
          <w:sz w:val="32"/>
          <w:szCs w:val="32"/>
          <w:shd w:val="clear" w:color="auto" w:fill="FFFFFF"/>
        </w:rPr>
      </w:pPr>
      <w:r>
        <w:rPr>
          <w:rFonts w:hint="eastAsia" w:ascii="仿宋_GB2312" w:hAnsi="黑体" w:eastAsia="仿宋_GB2312"/>
          <w:sz w:val="32"/>
          <w:szCs w:val="32"/>
        </w:rPr>
        <w:t>[3]</w:t>
      </w:r>
      <w:r>
        <w:rPr>
          <w:rFonts w:hint="eastAsia" w:ascii="仿宋_GB2312" w:hAnsi="仿宋_GB2312" w:eastAsia="仿宋_GB2312" w:cs="仿宋_GB2312"/>
          <w:b/>
          <w:bCs/>
          <w:sz w:val="32"/>
          <w:szCs w:val="32"/>
        </w:rPr>
        <w:t>揭榜挂帅：</w:t>
      </w:r>
      <w:r>
        <w:rPr>
          <w:rFonts w:hint="eastAsia" w:ascii="仿宋_GB2312" w:hAnsi="仿宋_GB2312" w:eastAsia="仿宋_GB2312" w:cs="仿宋_GB2312"/>
          <w:sz w:val="32"/>
          <w:szCs w:val="32"/>
          <w:shd w:val="clear" w:color="auto" w:fill="FFFFFF"/>
        </w:rPr>
        <w:t>也被称为科技悬赏制，是一种以科研成果来兑现的科研经费投入体制，是为了解决社会中特定领域的技术难题，由政府组织面向全社会开放的、专门征集科技创新成果的一种非周期性科研资助安排。</w:t>
      </w:r>
    </w:p>
    <w:p>
      <w:pPr>
        <w:pStyle w:val="7"/>
        <w:spacing w:line="600" w:lineRule="exact"/>
        <w:ind w:firstLine="640" w:firstLineChars="200"/>
        <w:rPr>
          <w:rFonts w:ascii="仿宋_GB2312" w:hAnsi="仿宋_GB2312" w:eastAsia="仿宋_GB2312" w:cs="仿宋_GB2312"/>
          <w:sz w:val="32"/>
          <w:szCs w:val="32"/>
          <w:vertAlign w:val="superscript"/>
        </w:rPr>
      </w:pPr>
      <w:r>
        <w:rPr>
          <w:rFonts w:hint="eastAsia" w:ascii="仿宋_GB2312" w:hAnsi="黑体" w:eastAsia="仿宋_GB2312"/>
          <w:sz w:val="32"/>
          <w:szCs w:val="32"/>
        </w:rPr>
        <w:t>[4]</w:t>
      </w:r>
      <w:r>
        <w:rPr>
          <w:rFonts w:hint="eastAsia" w:ascii="仿宋_GB2312" w:hAnsi="黑体" w:eastAsia="仿宋_GB2312"/>
          <w:b/>
          <w:bCs/>
          <w:sz w:val="32"/>
          <w:szCs w:val="32"/>
        </w:rPr>
        <w:t>义务教育阶段</w:t>
      </w:r>
      <w:r>
        <w:rPr>
          <w:rFonts w:hint="eastAsia" w:ascii="仿宋_GB2312" w:hAnsi="仿宋_GB2312" w:eastAsia="仿宋_GB2312" w:cs="仿宋_GB2312"/>
          <w:b/>
          <w:bCs/>
          <w:sz w:val="32"/>
          <w:szCs w:val="32"/>
        </w:rPr>
        <w:t>教育集团：</w:t>
      </w:r>
      <w:r>
        <w:rPr>
          <w:rFonts w:hint="eastAsia" w:ascii="仿宋_GB2312" w:hAnsi="仿宋_GB2312" w:eastAsia="仿宋_GB2312" w:cs="仿宋_GB2312"/>
          <w:sz w:val="32"/>
          <w:szCs w:val="32"/>
        </w:rPr>
        <w:t>由两所或两所以上的学校以不同的形式组合而成的教育共同体，在资源共享的基础上实现共同发展。</w:t>
      </w:r>
    </w:p>
    <w:p>
      <w:pPr>
        <w:pStyle w:val="5"/>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[5]</w:t>
      </w:r>
      <w:r>
        <w:rPr>
          <w:rFonts w:hint="eastAsia" w:ascii="仿宋_GB2312" w:hAnsi="仿宋_GB2312" w:eastAsia="仿宋_GB2312" w:cs="仿宋_GB2312"/>
          <w:b/>
          <w:bCs/>
          <w:sz w:val="32"/>
          <w:szCs w:val="32"/>
        </w:rPr>
        <w:t>1945模式：</w:t>
      </w:r>
      <w:r>
        <w:rPr>
          <w:rFonts w:hint="eastAsia" w:ascii="仿宋_GB2312" w:hAnsi="黑体" w:eastAsia="仿宋_GB2312"/>
          <w:sz w:val="32"/>
          <w:szCs w:val="32"/>
        </w:rPr>
        <w:t>“1”即1个企业——市林水集团负责农村垃圾全程转运，“9”即9个固定和移动垃圾转运站承担乡镇垃圾压缩任务，“4”即在小城镇推行垃圾“四分法”，“5”即在村屯推行农村生活垃圾“五指分类法”。</w:t>
      </w:r>
    </w:p>
    <w:p>
      <w:pPr>
        <w:pStyle w:val="7"/>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[6]</w:t>
      </w:r>
      <w:r>
        <w:rPr>
          <w:rFonts w:hint="eastAsia" w:ascii="仿宋_GB2312" w:hAnsi="仿宋_GB2312" w:eastAsia="仿宋_GB2312" w:cs="仿宋_GB2312"/>
          <w:b/>
          <w:bCs/>
          <w:sz w:val="32"/>
          <w:szCs w:val="32"/>
        </w:rPr>
        <w:t>五大领域改革：</w:t>
      </w:r>
      <w:r>
        <w:rPr>
          <w:rFonts w:hint="eastAsia" w:ascii="仿宋_GB2312" w:hAnsi="仿宋_GB2312" w:eastAsia="仿宋_GB2312" w:cs="仿宋_GB2312"/>
          <w:sz w:val="32"/>
          <w:szCs w:val="32"/>
        </w:rPr>
        <w:t>教育体制机制改革、医疗体制改革、养老机构改革、城区环卫市场化改革、国有企业改革。</w:t>
      </w:r>
    </w:p>
    <w:p>
      <w:pPr>
        <w:pStyle w:val="7"/>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[7]</w:t>
      </w:r>
      <w:r>
        <w:rPr>
          <w:rFonts w:hint="eastAsia" w:ascii="仿宋_GB2312" w:hAnsi="仿宋_GB2312" w:eastAsia="仿宋_GB2312" w:cs="仿宋_GB2312"/>
          <w:b/>
          <w:bCs/>
          <w:spacing w:val="-11"/>
          <w:sz w:val="32"/>
          <w:szCs w:val="32"/>
        </w:rPr>
        <w:t>三篇大文章：</w:t>
      </w:r>
      <w:r>
        <w:rPr>
          <w:rFonts w:ascii="仿宋_GB2312" w:hAnsi="仿宋_GB2312" w:eastAsia="仿宋_GB2312" w:cs="仿宋_GB2312"/>
          <w:sz w:val="32"/>
          <w:szCs w:val="32"/>
        </w:rPr>
        <w:t>改造升级“老字号”、深度开发“原字号”、培育壮大“新字号”</w:t>
      </w:r>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黑体" w:eastAsia="仿宋_GB2312"/>
          <w:sz w:val="32"/>
          <w:szCs w:val="32"/>
        </w:rPr>
        <w:t>[8]</w:t>
      </w:r>
      <w:r>
        <w:rPr>
          <w:rFonts w:hint="eastAsia" w:ascii="仿宋_GB2312" w:hAnsi="仿宋_GB2312" w:eastAsia="仿宋_GB2312" w:cs="仿宋_GB2312"/>
          <w:b/>
          <w:bCs/>
          <w:sz w:val="32"/>
          <w:szCs w:val="32"/>
        </w:rPr>
        <w:t>两个大局：</w:t>
      </w:r>
      <w:r>
        <w:rPr>
          <w:rFonts w:hint="eastAsia" w:ascii="仿宋_GB2312" w:hAnsi="仿宋_GB2312" w:eastAsia="仿宋_GB2312" w:cs="仿宋_GB2312"/>
          <w:sz w:val="32"/>
          <w:szCs w:val="32"/>
        </w:rPr>
        <w:t>实现中华民族伟大复兴的战略全局和世界百年未有之大变局。</w:t>
      </w:r>
    </w:p>
    <w:p>
      <w:pPr>
        <w:spacing w:line="600" w:lineRule="exact"/>
        <w:ind w:firstLine="640" w:firstLineChars="200"/>
        <w:rPr>
          <w:rFonts w:ascii="仿宋_GB2312" w:hAnsi="仿宋_GB2312" w:eastAsia="仿宋_GB2312" w:cs="仿宋_GB2312"/>
          <w:sz w:val="32"/>
          <w:szCs w:val="32"/>
        </w:rPr>
      </w:pPr>
      <w:r>
        <w:rPr>
          <w:rFonts w:hint="eastAsia" w:ascii="仿宋_GB2312" w:hAnsi="黑体" w:eastAsia="仿宋_GB2312"/>
          <w:sz w:val="32"/>
          <w:szCs w:val="32"/>
        </w:rPr>
        <w:t>[9]</w:t>
      </w:r>
      <w:r>
        <w:rPr>
          <w:rFonts w:hint="eastAsia" w:ascii="仿宋_GB2312" w:hAnsi="仿宋_GB2312" w:eastAsia="仿宋_GB2312" w:cs="仿宋_GB2312"/>
          <w:b/>
          <w:bCs/>
          <w:sz w:val="32"/>
          <w:szCs w:val="32"/>
        </w:rPr>
        <w:t>国之大者：</w:t>
      </w:r>
      <w:r>
        <w:rPr>
          <w:rFonts w:hint="eastAsia" w:ascii="仿宋_GB2312" w:hAnsi="仿宋_GB2312" w:eastAsia="仿宋_GB2312" w:cs="仿宋_GB2312"/>
          <w:sz w:val="32"/>
          <w:szCs w:val="32"/>
        </w:rPr>
        <w:t>事关党和国家前途命运、事关中华民族伟大复兴、事关人民幸福安康、事关社会长治久安的大事。</w:t>
      </w:r>
    </w:p>
    <w:p>
      <w:pPr>
        <w:pStyle w:val="7"/>
        <w:spacing w:line="600" w:lineRule="exact"/>
        <w:ind w:firstLine="640" w:firstLineChars="200"/>
        <w:rPr>
          <w:rFonts w:ascii="仿宋_GB2312" w:hAnsi="仿宋_GB2312" w:eastAsia="仿宋_GB2312" w:cs="仿宋_GB2312"/>
          <w:sz w:val="32"/>
          <w:szCs w:val="32"/>
        </w:rPr>
      </w:pPr>
      <w:r>
        <w:rPr>
          <w:rFonts w:hint="eastAsia" w:ascii="仿宋_GB2312" w:hAnsi="黑体" w:eastAsia="仿宋_GB2312"/>
          <w:sz w:val="32"/>
          <w:szCs w:val="32"/>
        </w:rPr>
        <w:t>[10]</w:t>
      </w:r>
      <w:r>
        <w:rPr>
          <w:rFonts w:hint="eastAsia" w:ascii="仿宋_GB2312" w:hAnsi="仿宋_GB2312" w:eastAsia="仿宋_GB2312" w:cs="仿宋_GB2312"/>
          <w:b/>
          <w:bCs/>
          <w:sz w:val="32"/>
          <w:szCs w:val="32"/>
        </w:rPr>
        <w:t>一圈一带两区：</w:t>
      </w:r>
      <w:r>
        <w:rPr>
          <w:rFonts w:hint="eastAsia" w:ascii="仿宋_GB2312" w:hAnsi="仿宋_GB2312" w:eastAsia="仿宋_GB2312" w:cs="仿宋_GB2312"/>
          <w:sz w:val="32"/>
          <w:szCs w:val="32"/>
        </w:rPr>
        <w:t>“一圈”即沈阳现代化都市圈，“一带”即辽宁沿海经济带，“两区”即辽西融入京津冀协同发展战略先导区和辽东绿色经济区。</w:t>
      </w:r>
    </w:p>
    <w:p>
      <w:pPr>
        <w:pStyle w:val="7"/>
        <w:spacing w:line="600" w:lineRule="exact"/>
        <w:ind w:firstLine="640" w:firstLineChars="200"/>
        <w:rPr>
          <w:rFonts w:ascii="仿宋_GB2312" w:hAnsi="仿宋_GB2312" w:eastAsia="仿宋_GB2312" w:cs="仿宋_GB2312"/>
          <w:b/>
          <w:bCs/>
          <w:sz w:val="32"/>
          <w:szCs w:val="32"/>
        </w:rPr>
      </w:pPr>
      <w:r>
        <w:rPr>
          <w:rFonts w:hint="eastAsia" w:ascii="仿宋_GB2312" w:hAnsi="黑体" w:eastAsia="仿宋_GB2312"/>
          <w:sz w:val="32"/>
          <w:szCs w:val="32"/>
        </w:rPr>
        <w:t>[11]</w:t>
      </w:r>
      <w:r>
        <w:rPr>
          <w:rFonts w:hint="eastAsia" w:ascii="仿宋_GB2312" w:hAnsi="仿宋_GB2312" w:eastAsia="仿宋_GB2312" w:cs="仿宋_GB2312"/>
          <w:b/>
          <w:bCs/>
          <w:sz w:val="32"/>
          <w:szCs w:val="32"/>
        </w:rPr>
        <w:t>十个新突破：</w:t>
      </w:r>
      <w:r>
        <w:rPr>
          <w:rFonts w:hint="eastAsia" w:ascii="仿宋_GB2312" w:hAnsi="仿宋_GB2312" w:eastAsia="仿宋_GB2312" w:cs="仿宋_GB2312"/>
          <w:sz w:val="32"/>
          <w:szCs w:val="32"/>
        </w:rPr>
        <w:t>1.在加快壮大经济规模上实现新突破；2.在全面深化改革上实现新突破；3.在创新发展上实现新突破；4.在提升城市功能上实现新突破；5.在推进更高水平对外开放上实现新突破；6.在建设东北亚海洋强市上实现新突破；7.在区域协调发展上实现新突破；8.在扎实推进共同富裕上实现新突破；9.在提升城市软实力上实现新突破；10.在提高城市治理水平上实现新突破。</w:t>
      </w:r>
    </w:p>
    <w:p>
      <w:pPr>
        <w:pStyle w:val="7"/>
        <w:spacing w:line="600" w:lineRule="exact"/>
        <w:ind w:firstLine="640" w:firstLineChars="200"/>
        <w:rPr>
          <w:rFonts w:ascii="仿宋_GB2312" w:hAnsi="仿宋_GB2312" w:eastAsia="仿宋_GB2312" w:cs="仿宋_GB2312"/>
          <w:sz w:val="32"/>
          <w:szCs w:val="32"/>
        </w:rPr>
      </w:pPr>
      <w:r>
        <w:rPr>
          <w:rFonts w:hint="eastAsia" w:ascii="仿宋_GB2312" w:hAnsi="黑体" w:eastAsia="仿宋_GB2312"/>
          <w:sz w:val="32"/>
          <w:szCs w:val="32"/>
        </w:rPr>
        <w:t>[12]</w:t>
      </w:r>
      <w:r>
        <w:rPr>
          <w:rFonts w:hint="eastAsia" w:ascii="仿宋_GB2312" w:hAnsi="仿宋_GB2312" w:eastAsia="仿宋_GB2312" w:cs="仿宋_GB2312"/>
          <w:b/>
          <w:bCs/>
          <w:sz w:val="32"/>
          <w:szCs w:val="32"/>
        </w:rPr>
        <w:t>大循环、双循环：</w:t>
      </w:r>
      <w:r>
        <w:rPr>
          <w:rFonts w:hint="eastAsia" w:ascii="仿宋_GB2312" w:hAnsi="仿宋_GB2312" w:eastAsia="仿宋_GB2312" w:cs="仿宋_GB2312"/>
          <w:sz w:val="32"/>
          <w:szCs w:val="32"/>
        </w:rPr>
        <w:t>把满足国内需求作为发展的出发点和落脚点，逐步形成以国内大循环为主体、国内国际双循环相互促进的新发展格局。</w:t>
      </w:r>
    </w:p>
    <w:p>
      <w:pPr>
        <w:pStyle w:val="7"/>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[13]</w:t>
      </w:r>
      <w:r>
        <w:rPr>
          <w:rFonts w:hint="eastAsia" w:ascii="仿宋_GB2312" w:hAnsi="仿宋_GB2312" w:eastAsia="仿宋_GB2312" w:cs="仿宋_GB2312"/>
          <w:b/>
          <w:bCs/>
          <w:sz w:val="32"/>
          <w:szCs w:val="32"/>
        </w:rPr>
        <w:t>黄海翼：</w:t>
      </w:r>
      <w:r>
        <w:rPr>
          <w:rFonts w:hint="eastAsia" w:ascii="仿宋_GB2312" w:hAnsi="仿宋_GB2312" w:eastAsia="仿宋_GB2312" w:cs="仿宋_GB2312"/>
          <w:sz w:val="32"/>
          <w:szCs w:val="32"/>
        </w:rPr>
        <w:t>大连庄河、丹东东港协同发展。推进优势产业统筹培育、资源要素统筹配置、基础设施统筹建设、公共服务统筹布局，促进形成布局合理、衔接高效的发展格局。</w:t>
      </w:r>
    </w:p>
    <w:p>
      <w:pPr>
        <w:pStyle w:val="7"/>
        <w:spacing w:line="600" w:lineRule="exact"/>
        <w:ind w:firstLine="640" w:firstLineChars="200"/>
        <w:rPr>
          <w:rFonts w:ascii="仿宋_GB2312" w:hAnsi="仿宋_GB2312" w:eastAsia="仿宋_GB2312" w:cs="仿宋_GB2312"/>
          <w:sz w:val="32"/>
          <w:szCs w:val="32"/>
        </w:rPr>
      </w:pPr>
      <w:r>
        <w:rPr>
          <w:rFonts w:hint="eastAsia" w:ascii="仿宋_GB2312" w:hAnsi="黑体" w:eastAsia="仿宋_GB2312"/>
          <w:sz w:val="32"/>
          <w:szCs w:val="32"/>
        </w:rPr>
        <w:t>[14]</w:t>
      </w:r>
      <w:r>
        <w:rPr>
          <w:rFonts w:hint="eastAsia" w:ascii="仿宋_GB2312" w:hAnsi="仿宋_GB2312" w:eastAsia="仿宋_GB2312" w:cs="仿宋_GB2312"/>
          <w:b/>
          <w:bCs/>
          <w:sz w:val="32"/>
          <w:szCs w:val="32"/>
        </w:rPr>
        <w:t>“十个一”工程：</w:t>
      </w:r>
      <w:r>
        <w:rPr>
          <w:rFonts w:hint="eastAsia" w:ascii="仿宋_GB2312" w:hAnsi="仿宋_GB2312" w:eastAsia="仿宋_GB2312" w:cs="仿宋_GB2312"/>
          <w:sz w:val="32"/>
          <w:szCs w:val="32"/>
        </w:rPr>
        <w:t>每个乡镇至少创建1个农村人居环境示范村、至少新引进1个农产品加工企业或产业融合发展示范园、至少打造1个标准化居住示范区、至少有1个主导产业、至少有1个农产品主导品牌、至少有一个党建引领示范村（社区）、每年至少发展家庭农场10家；每个村至少打造1个农民专业合作社示范社，至少有1个农村电商服务站，每年至少规模化经营土地100亩以上。</w:t>
      </w:r>
    </w:p>
    <w:p>
      <w:pPr>
        <w:pStyle w:val="7"/>
        <w:spacing w:line="600" w:lineRule="exact"/>
        <w:ind w:firstLine="640" w:firstLineChars="200"/>
        <w:rPr>
          <w:rFonts w:ascii="仿宋_GB2312" w:hAnsi="仿宋_GB2312" w:eastAsia="仿宋_GB2312" w:cs="仿宋_GB2312"/>
          <w:sz w:val="32"/>
          <w:szCs w:val="32"/>
        </w:rPr>
      </w:pPr>
      <w:r>
        <w:rPr>
          <w:rFonts w:hint="eastAsia" w:ascii="仿宋_GB2312" w:hAnsi="黑体" w:eastAsia="仿宋_GB2312"/>
          <w:sz w:val="32"/>
          <w:szCs w:val="32"/>
        </w:rPr>
        <w:t>[15]</w:t>
      </w:r>
      <w:r>
        <w:rPr>
          <w:rFonts w:hint="eastAsia" w:ascii="仿宋_GB2312" w:hAnsi="仿宋_GB2312" w:eastAsia="仿宋_GB2312" w:cs="仿宋_GB2312"/>
          <w:b/>
          <w:bCs/>
          <w:sz w:val="32"/>
          <w:szCs w:val="32"/>
        </w:rPr>
        <w:t>碳达峰、碳中和：</w:t>
      </w:r>
      <w:r>
        <w:rPr>
          <w:rFonts w:ascii="仿宋_GB2312" w:hAnsi="仿宋_GB2312" w:eastAsia="仿宋_GB2312" w:cs="仿宋_GB2312"/>
          <w:b/>
          <w:bCs/>
          <w:sz w:val="32"/>
          <w:szCs w:val="32"/>
        </w:rPr>
        <w:t>碳达峰</w:t>
      </w:r>
      <w:r>
        <w:rPr>
          <w:rFonts w:ascii="仿宋_GB2312" w:hAnsi="仿宋_GB2312" w:eastAsia="仿宋_GB2312" w:cs="仿宋_GB2312"/>
          <w:sz w:val="32"/>
          <w:szCs w:val="32"/>
        </w:rPr>
        <w:t>是指某个地区年度温室气体排放量达到历史最高值，是温室气体排放量由增转降的历史拐点，标志着经济发展由高耗能、高排放向清洁低能耗模式的转变。</w:t>
      </w:r>
      <w:r>
        <w:rPr>
          <w:rFonts w:ascii="仿宋_GB2312" w:hAnsi="仿宋_GB2312" w:eastAsia="仿宋_GB2312" w:cs="仿宋_GB2312"/>
          <w:b/>
          <w:bCs/>
          <w:sz w:val="32"/>
          <w:szCs w:val="32"/>
        </w:rPr>
        <w:t>碳中和</w:t>
      </w:r>
      <w:r>
        <w:rPr>
          <w:rFonts w:ascii="仿宋_GB2312" w:hAnsi="仿宋_GB2312" w:eastAsia="仿宋_GB2312" w:cs="仿宋_GB2312"/>
          <w:sz w:val="32"/>
          <w:szCs w:val="32"/>
        </w:rPr>
        <w:t>是指某个地区在一定时间内（一般指一年）人类活动直接和间接排放的碳总量，与通过植树造林、工业固碳等吸收的碳总量相互抵消，实现碳“净零排放”。</w:t>
      </w:r>
    </w:p>
    <w:p>
      <w:pPr>
        <w:pStyle w:val="7"/>
        <w:spacing w:line="600" w:lineRule="exact"/>
        <w:ind w:firstLine="640" w:firstLineChars="200"/>
        <w:rPr>
          <w:rFonts w:ascii="仿宋_GB2312" w:hAnsi="仿宋_GB2312" w:eastAsia="仿宋_GB2312" w:cs="仿宋_GB2312"/>
          <w:sz w:val="32"/>
          <w:szCs w:val="32"/>
        </w:rPr>
      </w:pPr>
      <w:r>
        <w:rPr>
          <w:rFonts w:hint="eastAsia" w:ascii="仿宋_GB2312" w:hAnsi="黑体" w:eastAsia="仿宋_GB2312"/>
          <w:sz w:val="32"/>
          <w:szCs w:val="32"/>
        </w:rPr>
        <w:t>[16]</w:t>
      </w:r>
      <w:r>
        <w:rPr>
          <w:rFonts w:hint="eastAsia" w:ascii="仿宋_GB2312" w:hAnsi="仿宋_GB2312" w:eastAsia="仿宋_GB2312" w:cs="仿宋_GB2312"/>
          <w:b/>
          <w:bCs/>
          <w:sz w:val="32"/>
          <w:szCs w:val="32"/>
        </w:rPr>
        <w:t>四方责任：</w:t>
      </w:r>
      <w:r>
        <w:rPr>
          <w:rFonts w:ascii="仿宋_GB2312" w:hAnsi="仿宋_GB2312" w:eastAsia="仿宋_GB2312" w:cs="仿宋_GB2312"/>
          <w:sz w:val="32"/>
          <w:szCs w:val="32"/>
        </w:rPr>
        <w:t>在疫情期间，把全市动员起来，全面落实属地、部门、单位、个人的四方责任，建立全社会共同防控体系。</w:t>
      </w:r>
    </w:p>
    <w:p>
      <w:pPr>
        <w:pStyle w:val="7"/>
        <w:spacing w:line="600" w:lineRule="exact"/>
        <w:ind w:firstLine="640" w:firstLineChars="200"/>
        <w:rPr>
          <w:rFonts w:ascii="仿宋_GB2312" w:hAnsi="仿宋_GB2312" w:eastAsia="仿宋_GB2312" w:cs="仿宋_GB2312"/>
          <w:sz w:val="32"/>
          <w:szCs w:val="32"/>
        </w:rPr>
      </w:pPr>
      <w:r>
        <w:rPr>
          <w:rFonts w:hint="eastAsia" w:ascii="仿宋_GB2312" w:hAnsi="黑体" w:eastAsia="仿宋_GB2312"/>
          <w:sz w:val="32"/>
          <w:szCs w:val="32"/>
        </w:rPr>
        <w:t>[17]</w:t>
      </w:r>
      <w:r>
        <w:rPr>
          <w:rFonts w:hint="eastAsia" w:ascii="仿宋_GB2312" w:hAnsi="仿宋_GB2312" w:eastAsia="仿宋_GB2312" w:cs="仿宋_GB2312"/>
          <w:b/>
          <w:bCs/>
          <w:sz w:val="32"/>
          <w:szCs w:val="32"/>
        </w:rPr>
        <w:t>四早：</w:t>
      </w:r>
      <w:r>
        <w:rPr>
          <w:rFonts w:ascii="仿宋_GB2312" w:hAnsi="仿宋_GB2312" w:eastAsia="仿宋_GB2312" w:cs="仿宋_GB2312"/>
          <w:sz w:val="32"/>
          <w:szCs w:val="32"/>
        </w:rPr>
        <w:t>早发现、早报告、早隔离、早治疗</w:t>
      </w:r>
      <w:r>
        <w:rPr>
          <w:rFonts w:hint="eastAsia" w:ascii="仿宋_GB2312" w:hAnsi="仿宋_GB2312" w:eastAsia="仿宋_GB2312" w:cs="仿宋_GB2312"/>
          <w:sz w:val="32"/>
          <w:szCs w:val="32"/>
        </w:rPr>
        <w:t>。</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黑体" w:eastAsia="仿宋_GB2312"/>
          <w:sz w:val="32"/>
          <w:szCs w:val="32"/>
        </w:rPr>
        <w:t>[18]</w:t>
      </w:r>
      <w:r>
        <w:rPr>
          <w:rFonts w:hint="eastAsia" w:ascii="仿宋_GB2312" w:hAnsi="黑体" w:eastAsia="仿宋_GB2312"/>
          <w:b/>
          <w:bCs/>
          <w:sz w:val="32"/>
          <w:szCs w:val="32"/>
        </w:rPr>
        <w:t>大学城</w:t>
      </w:r>
      <w:r>
        <w:rPr>
          <w:rFonts w:hint="eastAsia" w:ascii="仿宋_GB2312" w:hAnsi="仿宋_GB2312" w:eastAsia="仿宋_GB2312" w:cs="仿宋_GB2312"/>
          <w:b/>
          <w:bCs/>
          <w:sz w:val="32"/>
          <w:szCs w:val="32"/>
        </w:rPr>
        <w:t>东校区AB区：</w:t>
      </w:r>
      <w:r>
        <w:rPr>
          <w:rFonts w:hint="eastAsia" w:ascii="仿宋_GB2312" w:hAnsi="仿宋_GB2312" w:eastAsia="仿宋_GB2312" w:cs="仿宋_GB2312"/>
          <w:sz w:val="32"/>
          <w:szCs w:val="32"/>
        </w:rPr>
        <w:t>位于大学城东校区西侧，分为AB两部分，规划建设教学楼、学生公寓、实训中心等13.8万平方米。</w:t>
      </w:r>
    </w:p>
    <w:p>
      <w:pPr>
        <w:snapToGrid w:val="0"/>
        <w:spacing w:line="600" w:lineRule="exact"/>
        <w:ind w:firstLine="640" w:firstLineChars="200"/>
        <w:rPr>
          <w:rFonts w:ascii="仿宋_GB2312" w:hAnsi="仿宋_GB2312" w:eastAsia="仿宋_GB2312" w:cs="仿宋_GB2312"/>
          <w:sz w:val="32"/>
          <w:szCs w:val="32"/>
          <w:vertAlign w:val="superscript"/>
        </w:rPr>
      </w:pPr>
      <w:r>
        <w:rPr>
          <w:rFonts w:hint="eastAsia" w:ascii="仿宋_GB2312" w:hAnsi="黑体" w:eastAsia="仿宋_GB2312"/>
          <w:sz w:val="32"/>
          <w:szCs w:val="32"/>
        </w:rPr>
        <w:t>[19]</w:t>
      </w:r>
      <w:r>
        <w:rPr>
          <w:rFonts w:hint="eastAsia" w:ascii="仿宋_GB2312" w:hAnsi="仿宋_GB2312" w:eastAsia="仿宋_GB2312" w:cs="仿宋_GB2312"/>
          <w:b/>
          <w:bCs/>
          <w:sz w:val="32"/>
          <w:szCs w:val="32"/>
        </w:rPr>
        <w:t>一城一区三带：</w:t>
      </w:r>
      <w:r>
        <w:rPr>
          <w:rFonts w:hint="eastAsia" w:ascii="仿宋_GB2312" w:hAnsi="仿宋_GB2312" w:eastAsia="仿宋_GB2312" w:cs="仿宋_GB2312"/>
          <w:sz w:val="32"/>
          <w:szCs w:val="32"/>
        </w:rPr>
        <w:t>一城指主城区，一区指北黄海经开区，三带指南部蓝色海洋经济带、中部金色现代农业经济带和北部绿色生态旅游经济带。</w:t>
      </w:r>
    </w:p>
    <w:p>
      <w:pPr>
        <w:pStyle w:val="7"/>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[20]</w:t>
      </w:r>
      <w:r>
        <w:rPr>
          <w:rFonts w:hint="eastAsia" w:ascii="仿宋_GB2312" w:hAnsi="仿宋_GB2312" w:eastAsia="仿宋_GB2312" w:cs="仿宋_GB2312"/>
          <w:b/>
          <w:bCs/>
          <w:sz w:val="32"/>
          <w:szCs w:val="32"/>
        </w:rPr>
        <w:t>蓝湾项目：</w:t>
      </w:r>
      <w:r>
        <w:rPr>
          <w:rFonts w:hint="eastAsia" w:ascii="仿宋_GB2312" w:hAnsi="仿宋_GB2312" w:eastAsia="仿宋_GB2312" w:cs="仿宋_GB2312"/>
          <w:sz w:val="32"/>
          <w:szCs w:val="32"/>
        </w:rPr>
        <w:t>海洋生态保护修复项目。</w:t>
      </w:r>
    </w:p>
    <w:p>
      <w:pPr>
        <w:pStyle w:val="7"/>
        <w:spacing w:line="600" w:lineRule="exact"/>
        <w:ind w:firstLine="640" w:firstLineChars="200"/>
        <w:rPr>
          <w:rFonts w:ascii="仿宋_GB2312" w:hAnsi="仿宋_GB2312" w:eastAsia="仿宋_GB2312" w:cs="仿宋_GB2312"/>
          <w:sz w:val="32"/>
          <w:szCs w:val="32"/>
        </w:rPr>
      </w:pPr>
      <w:r>
        <w:rPr>
          <w:rFonts w:hint="eastAsia" w:ascii="仿宋_GB2312" w:hAnsi="黑体" w:eastAsia="仿宋_GB2312"/>
          <w:sz w:val="32"/>
          <w:szCs w:val="32"/>
        </w:rPr>
        <w:t>[21]</w:t>
      </w:r>
      <w:r>
        <w:rPr>
          <w:rFonts w:hint="eastAsia" w:ascii="仿宋_GB2312" w:hAnsi="仿宋_GB2312" w:eastAsia="仿宋_GB2312" w:cs="仿宋_GB2312"/>
          <w:b/>
          <w:bCs/>
          <w:sz w:val="32"/>
          <w:szCs w:val="32"/>
        </w:rPr>
        <w:t>天步线：</w:t>
      </w:r>
      <w:r>
        <w:rPr>
          <w:rFonts w:hint="eastAsia" w:ascii="仿宋_GB2312" w:hAnsi="仿宋_GB2312" w:eastAsia="仿宋_GB2312" w:cs="仿宋_GB2312"/>
          <w:sz w:val="32"/>
          <w:szCs w:val="32"/>
        </w:rPr>
        <w:t>天门山至步云山新建公路工程，全长13.2公里。</w:t>
      </w:r>
    </w:p>
    <w:p>
      <w:pPr>
        <w:pStyle w:val="7"/>
        <w:spacing w:line="600" w:lineRule="exact"/>
        <w:ind w:firstLine="640" w:firstLineChars="200"/>
        <w:rPr>
          <w:rFonts w:ascii="仿宋_GB2312" w:hAnsi="仿宋_GB2312" w:eastAsia="仿宋_GB2312" w:cs="仿宋_GB2312"/>
          <w:sz w:val="32"/>
          <w:szCs w:val="32"/>
        </w:rPr>
      </w:pPr>
      <w:r>
        <w:rPr>
          <w:rFonts w:hint="eastAsia" w:ascii="仿宋_GB2312" w:hAnsi="黑体" w:eastAsia="仿宋_GB2312"/>
          <w:sz w:val="32"/>
          <w:szCs w:val="32"/>
        </w:rPr>
        <w:t>[22]</w:t>
      </w:r>
      <w:r>
        <w:rPr>
          <w:rFonts w:hint="eastAsia" w:ascii="仿宋_GB2312" w:hAnsi="仿宋_GB2312" w:eastAsia="仿宋_GB2312" w:cs="仿宋_GB2312"/>
          <w:b/>
          <w:bCs/>
          <w:sz w:val="32"/>
          <w:szCs w:val="32"/>
        </w:rPr>
        <w:t>四旁：</w:t>
      </w:r>
      <w:r>
        <w:rPr>
          <w:rFonts w:hint="eastAsia" w:ascii="仿宋_GB2312" w:hAnsi="仿宋_GB2312" w:eastAsia="仿宋_GB2312" w:cs="仿宋_GB2312"/>
          <w:sz w:val="32"/>
          <w:szCs w:val="32"/>
        </w:rPr>
        <w:t>路旁、沟旁、渠旁和宅旁。</w:t>
      </w:r>
    </w:p>
    <w:p>
      <w:pPr>
        <w:pStyle w:val="7"/>
        <w:spacing w:line="600" w:lineRule="exact"/>
        <w:ind w:firstLine="640" w:firstLineChars="200"/>
        <w:rPr>
          <w:rFonts w:ascii="仿宋_GB2312" w:hAnsi="仿宋_GB2312" w:eastAsia="仿宋_GB2312" w:cs="仿宋_GB2312"/>
          <w:sz w:val="32"/>
          <w:szCs w:val="32"/>
        </w:rPr>
      </w:pPr>
      <w:r>
        <w:rPr>
          <w:rFonts w:hint="eastAsia" w:ascii="仿宋_GB2312" w:hAnsi="黑体" w:eastAsia="仿宋_GB2312"/>
          <w:sz w:val="32"/>
          <w:szCs w:val="32"/>
        </w:rPr>
        <w:t>[23]</w:t>
      </w:r>
      <w:r>
        <w:rPr>
          <w:rFonts w:hint="eastAsia" w:ascii="仿宋_GB2312" w:hAnsi="仿宋_GB2312" w:eastAsia="仿宋_GB2312" w:cs="仿宋_GB2312"/>
          <w:b/>
          <w:bCs/>
          <w:sz w:val="32"/>
          <w:szCs w:val="32"/>
        </w:rPr>
        <w:t>清四乱：</w:t>
      </w:r>
      <w:r>
        <w:rPr>
          <w:rFonts w:hint="eastAsia" w:ascii="仿宋_GB2312" w:hAnsi="仿宋_GB2312" w:eastAsia="仿宋_GB2312" w:cs="仿宋_GB2312"/>
          <w:sz w:val="32"/>
          <w:szCs w:val="32"/>
        </w:rPr>
        <w:t>重点对围垦湖泊，未依法经省级以上人民政府批准围垦河道，非法侵占水域、滩地，种植阻碍行洪的林木及高杆作物等“乱占”问题；河湖非法采砂、取土等“乱采”问题；乱扔乱堆垃圾，倾倒、填埋、贮存、堆放固体废物，弃置、堆放阻碍行洪的物体等“乱堆”问题；河湖水域岸线长期占而不用、多占少用、滥占滥用，违法违规建设涉河项目，河道管理范围内修建阻碍行洪的建筑物、构筑物等“乱建”问题进行清理整治。</w:t>
      </w:r>
    </w:p>
    <w:p>
      <w:pPr>
        <w:pStyle w:val="7"/>
        <w:spacing w:line="600" w:lineRule="exact"/>
        <w:ind w:firstLine="640" w:firstLineChars="200"/>
        <w:rPr>
          <w:rFonts w:ascii="仿宋_GB2312" w:hAnsi="仿宋_GB2312" w:eastAsia="仿宋_GB2312" w:cs="仿宋_GB2312"/>
          <w:sz w:val="32"/>
          <w:szCs w:val="32"/>
        </w:rPr>
      </w:pPr>
      <w:r>
        <w:rPr>
          <w:rFonts w:hint="eastAsia" w:ascii="仿宋_GB2312" w:hAnsi="黑体" w:eastAsia="仿宋_GB2312"/>
          <w:sz w:val="32"/>
          <w:szCs w:val="32"/>
        </w:rPr>
        <w:t>[24]</w:t>
      </w:r>
      <w:r>
        <w:rPr>
          <w:rFonts w:hint="eastAsia" w:ascii="仿宋_GB2312" w:hAnsi="仿宋_GB2312" w:eastAsia="仿宋_GB2312" w:cs="仿宋_GB2312"/>
          <w:b/>
          <w:bCs/>
          <w:sz w:val="32"/>
          <w:szCs w:val="32"/>
        </w:rPr>
        <w:t>社会工作站：</w:t>
      </w:r>
      <w:r>
        <w:rPr>
          <w:rFonts w:hint="eastAsia" w:ascii="仿宋_GB2312" w:hAnsi="仿宋_GB2312" w:eastAsia="仿宋_GB2312" w:cs="仿宋_GB2312"/>
          <w:sz w:val="32"/>
          <w:szCs w:val="32"/>
        </w:rPr>
        <w:t>以社会工作专业人才为主体，坚持“助人自助”宗旨，综合运用社会工作专业知识、方法和技能，开展困难救助、矛盾调处、权益维护、人文关怀等服务的民办非企业单位。</w:t>
      </w:r>
    </w:p>
    <w:sectPr>
      <w:footerReference r:id="rId3" w:type="default"/>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pPr>
                            <w:pStyle w:val="6"/>
                            <w:rPr>
                              <w:rFonts w:hint="default" w:ascii="Times New Roman" w:hAnsi="Times New Roman" w:cs="Times New Roman"/>
                              <w:sz w:val="24"/>
                              <w:szCs w:val="24"/>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eastAsia="zh-CN"/>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outside;mso-position-horizontal-relative:margin;mso-wrap-style:none;z-index:25165926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9sZGvRAAAAAgEAAA8AAAAAAAAAAQAgAAAAIgAAAGRycy9kb3ducmV2LnhtbFBLAQIUABQAAAAI&#10;AIdO4kAD09VxLQIAAFIEAAAOAAAAAAAAAAEAIAAAACABAABkcnMvZTJvRG9jLnhtbFBLBQYAAAAA&#10;BgAGAFkBAAC/BQAAAAA=&#10;">
              <v:fill on="f" focussize="0,0"/>
              <v:stroke on="f" weight="0.5pt"/>
              <v:imagedata o:title=""/>
              <o:lock v:ext="edit" aspectratio="f"/>
              <v:textbox inset="0mm,0mm,0mm,0mm" style="mso-fit-shape-to-text:t;">
                <w:txbxContent>
                  <w:p>
                    <w:pPr>
                      <w:pStyle w:val="6"/>
                      <w:rPr>
                        <w:rFonts w:hint="default" w:ascii="Times New Roman" w:hAnsi="Times New Roman" w:cs="Times New Roman"/>
                        <w:sz w:val="24"/>
                        <w:szCs w:val="24"/>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C17D4A"/>
    <w:rsid w:val="000514EE"/>
    <w:rsid w:val="0016007F"/>
    <w:rsid w:val="00172E78"/>
    <w:rsid w:val="001925D9"/>
    <w:rsid w:val="002532BA"/>
    <w:rsid w:val="002774B3"/>
    <w:rsid w:val="002D194E"/>
    <w:rsid w:val="00327CB1"/>
    <w:rsid w:val="0034729D"/>
    <w:rsid w:val="00411C1A"/>
    <w:rsid w:val="00667448"/>
    <w:rsid w:val="00692FA7"/>
    <w:rsid w:val="007058A0"/>
    <w:rsid w:val="00791CA6"/>
    <w:rsid w:val="007A538C"/>
    <w:rsid w:val="007E0FAC"/>
    <w:rsid w:val="007E4CA5"/>
    <w:rsid w:val="007F6179"/>
    <w:rsid w:val="0087631D"/>
    <w:rsid w:val="008859C9"/>
    <w:rsid w:val="00886A03"/>
    <w:rsid w:val="008953F8"/>
    <w:rsid w:val="008B790A"/>
    <w:rsid w:val="008C10A8"/>
    <w:rsid w:val="00A06F4C"/>
    <w:rsid w:val="00AD671E"/>
    <w:rsid w:val="00AE30B0"/>
    <w:rsid w:val="00B622DF"/>
    <w:rsid w:val="00C363EC"/>
    <w:rsid w:val="00C66004"/>
    <w:rsid w:val="00D64207"/>
    <w:rsid w:val="00D91EFA"/>
    <w:rsid w:val="00DB1165"/>
    <w:rsid w:val="00E11ABA"/>
    <w:rsid w:val="00E15538"/>
    <w:rsid w:val="00FD3055"/>
    <w:rsid w:val="00FF2BB4"/>
    <w:rsid w:val="010231BC"/>
    <w:rsid w:val="01053064"/>
    <w:rsid w:val="010D2ACA"/>
    <w:rsid w:val="010E3A30"/>
    <w:rsid w:val="010E7D1F"/>
    <w:rsid w:val="011762A0"/>
    <w:rsid w:val="01243250"/>
    <w:rsid w:val="01422176"/>
    <w:rsid w:val="0146700C"/>
    <w:rsid w:val="01566F72"/>
    <w:rsid w:val="015C48BA"/>
    <w:rsid w:val="01604C99"/>
    <w:rsid w:val="0179546C"/>
    <w:rsid w:val="017E3CFD"/>
    <w:rsid w:val="017F2476"/>
    <w:rsid w:val="0182356F"/>
    <w:rsid w:val="0182778C"/>
    <w:rsid w:val="01852E29"/>
    <w:rsid w:val="018C6605"/>
    <w:rsid w:val="01B244E9"/>
    <w:rsid w:val="01BA6FFB"/>
    <w:rsid w:val="01BB57C7"/>
    <w:rsid w:val="01BE2FDC"/>
    <w:rsid w:val="01C36C95"/>
    <w:rsid w:val="01CC2B11"/>
    <w:rsid w:val="01D82A05"/>
    <w:rsid w:val="01F33470"/>
    <w:rsid w:val="01F376BD"/>
    <w:rsid w:val="020161D6"/>
    <w:rsid w:val="020F49F6"/>
    <w:rsid w:val="0229099C"/>
    <w:rsid w:val="02313F99"/>
    <w:rsid w:val="023C2387"/>
    <w:rsid w:val="025B2DC4"/>
    <w:rsid w:val="02626540"/>
    <w:rsid w:val="02777AEC"/>
    <w:rsid w:val="028358B9"/>
    <w:rsid w:val="02A604E3"/>
    <w:rsid w:val="02B01361"/>
    <w:rsid w:val="02C17970"/>
    <w:rsid w:val="02C56A55"/>
    <w:rsid w:val="02D2752A"/>
    <w:rsid w:val="02D344F6"/>
    <w:rsid w:val="02EC59A8"/>
    <w:rsid w:val="02EE7010"/>
    <w:rsid w:val="0305345B"/>
    <w:rsid w:val="03133EA2"/>
    <w:rsid w:val="034218F3"/>
    <w:rsid w:val="03452DCB"/>
    <w:rsid w:val="034818B3"/>
    <w:rsid w:val="037B5C10"/>
    <w:rsid w:val="037B7842"/>
    <w:rsid w:val="03830A8B"/>
    <w:rsid w:val="03887BE8"/>
    <w:rsid w:val="03926D4F"/>
    <w:rsid w:val="03AC2A9C"/>
    <w:rsid w:val="03AD4291"/>
    <w:rsid w:val="03AD5CF2"/>
    <w:rsid w:val="03AE19D6"/>
    <w:rsid w:val="03B93480"/>
    <w:rsid w:val="03BA033D"/>
    <w:rsid w:val="03D63EB7"/>
    <w:rsid w:val="03D95F12"/>
    <w:rsid w:val="03DF735B"/>
    <w:rsid w:val="03E2445B"/>
    <w:rsid w:val="03E2554B"/>
    <w:rsid w:val="03EE0393"/>
    <w:rsid w:val="03EF5FE1"/>
    <w:rsid w:val="03F14788"/>
    <w:rsid w:val="03FE4D07"/>
    <w:rsid w:val="0423607D"/>
    <w:rsid w:val="042711AF"/>
    <w:rsid w:val="043523FD"/>
    <w:rsid w:val="043734A9"/>
    <w:rsid w:val="043F0BEF"/>
    <w:rsid w:val="045652BA"/>
    <w:rsid w:val="0467044F"/>
    <w:rsid w:val="046A0B86"/>
    <w:rsid w:val="046E3FA0"/>
    <w:rsid w:val="04732647"/>
    <w:rsid w:val="047D0EEE"/>
    <w:rsid w:val="0482615E"/>
    <w:rsid w:val="0493538D"/>
    <w:rsid w:val="049549D9"/>
    <w:rsid w:val="04994006"/>
    <w:rsid w:val="04A300F0"/>
    <w:rsid w:val="04C131A1"/>
    <w:rsid w:val="04D41C97"/>
    <w:rsid w:val="04E36052"/>
    <w:rsid w:val="04F77EE9"/>
    <w:rsid w:val="0519257E"/>
    <w:rsid w:val="0519657F"/>
    <w:rsid w:val="051C683A"/>
    <w:rsid w:val="05365417"/>
    <w:rsid w:val="05502A68"/>
    <w:rsid w:val="055A55B4"/>
    <w:rsid w:val="05634469"/>
    <w:rsid w:val="056D0012"/>
    <w:rsid w:val="0570239B"/>
    <w:rsid w:val="057448C8"/>
    <w:rsid w:val="05B07B00"/>
    <w:rsid w:val="05B11045"/>
    <w:rsid w:val="05B34B9C"/>
    <w:rsid w:val="05C21168"/>
    <w:rsid w:val="05D13AC9"/>
    <w:rsid w:val="05D32079"/>
    <w:rsid w:val="05DC421B"/>
    <w:rsid w:val="05E13556"/>
    <w:rsid w:val="05E766E6"/>
    <w:rsid w:val="05E96F9A"/>
    <w:rsid w:val="05FD06AE"/>
    <w:rsid w:val="06062903"/>
    <w:rsid w:val="060B7A81"/>
    <w:rsid w:val="061A5470"/>
    <w:rsid w:val="061C347E"/>
    <w:rsid w:val="061D0D70"/>
    <w:rsid w:val="06540256"/>
    <w:rsid w:val="066733B5"/>
    <w:rsid w:val="067032E2"/>
    <w:rsid w:val="06835767"/>
    <w:rsid w:val="068F1B21"/>
    <w:rsid w:val="069421C7"/>
    <w:rsid w:val="069B5071"/>
    <w:rsid w:val="06C462DF"/>
    <w:rsid w:val="06C66659"/>
    <w:rsid w:val="06E95647"/>
    <w:rsid w:val="06F44EE9"/>
    <w:rsid w:val="06FD2FAE"/>
    <w:rsid w:val="07123B58"/>
    <w:rsid w:val="07353C4A"/>
    <w:rsid w:val="07367BC1"/>
    <w:rsid w:val="073A5625"/>
    <w:rsid w:val="073F66F7"/>
    <w:rsid w:val="074C2778"/>
    <w:rsid w:val="074F5EED"/>
    <w:rsid w:val="074F64DC"/>
    <w:rsid w:val="076304AB"/>
    <w:rsid w:val="07934AE6"/>
    <w:rsid w:val="079A6738"/>
    <w:rsid w:val="07A86AAB"/>
    <w:rsid w:val="07AF7396"/>
    <w:rsid w:val="07B91B89"/>
    <w:rsid w:val="07C1191B"/>
    <w:rsid w:val="07C31421"/>
    <w:rsid w:val="07C61B25"/>
    <w:rsid w:val="07D433FC"/>
    <w:rsid w:val="07DA1ED1"/>
    <w:rsid w:val="07E06245"/>
    <w:rsid w:val="080D690E"/>
    <w:rsid w:val="081A2178"/>
    <w:rsid w:val="08254C99"/>
    <w:rsid w:val="083327BE"/>
    <w:rsid w:val="083A4809"/>
    <w:rsid w:val="085D1644"/>
    <w:rsid w:val="087455F9"/>
    <w:rsid w:val="087510AF"/>
    <w:rsid w:val="087D1CE6"/>
    <w:rsid w:val="08894861"/>
    <w:rsid w:val="08A41020"/>
    <w:rsid w:val="08B82D1E"/>
    <w:rsid w:val="08BB5F79"/>
    <w:rsid w:val="08C07E24"/>
    <w:rsid w:val="08C8036B"/>
    <w:rsid w:val="08CC4A1B"/>
    <w:rsid w:val="08CE75A7"/>
    <w:rsid w:val="08D343CC"/>
    <w:rsid w:val="08E24B33"/>
    <w:rsid w:val="08F22466"/>
    <w:rsid w:val="08F51683"/>
    <w:rsid w:val="0908290E"/>
    <w:rsid w:val="09161806"/>
    <w:rsid w:val="09312D94"/>
    <w:rsid w:val="09400231"/>
    <w:rsid w:val="096358FF"/>
    <w:rsid w:val="096D022E"/>
    <w:rsid w:val="097F383C"/>
    <w:rsid w:val="0982153A"/>
    <w:rsid w:val="09842C00"/>
    <w:rsid w:val="098B5E4D"/>
    <w:rsid w:val="09942BDE"/>
    <w:rsid w:val="099D4BC9"/>
    <w:rsid w:val="099E63B9"/>
    <w:rsid w:val="09A5603C"/>
    <w:rsid w:val="09A61824"/>
    <w:rsid w:val="09C63218"/>
    <w:rsid w:val="09C74319"/>
    <w:rsid w:val="09D771D4"/>
    <w:rsid w:val="09FD196B"/>
    <w:rsid w:val="09FF2223"/>
    <w:rsid w:val="0A13455E"/>
    <w:rsid w:val="0A1B459D"/>
    <w:rsid w:val="0A1B5312"/>
    <w:rsid w:val="0A385670"/>
    <w:rsid w:val="0A3D172D"/>
    <w:rsid w:val="0A401F14"/>
    <w:rsid w:val="0A4D59BB"/>
    <w:rsid w:val="0A4E5CE6"/>
    <w:rsid w:val="0A5C0CB3"/>
    <w:rsid w:val="0A7A7739"/>
    <w:rsid w:val="0A810719"/>
    <w:rsid w:val="0A932B49"/>
    <w:rsid w:val="0AB324BD"/>
    <w:rsid w:val="0AC27E84"/>
    <w:rsid w:val="0AEB147C"/>
    <w:rsid w:val="0B073AE9"/>
    <w:rsid w:val="0B1B4AB5"/>
    <w:rsid w:val="0B41785D"/>
    <w:rsid w:val="0B44196F"/>
    <w:rsid w:val="0B5D105C"/>
    <w:rsid w:val="0B6B22C9"/>
    <w:rsid w:val="0B7E024F"/>
    <w:rsid w:val="0B7E7164"/>
    <w:rsid w:val="0B893988"/>
    <w:rsid w:val="0B986919"/>
    <w:rsid w:val="0B9B3BAD"/>
    <w:rsid w:val="0BA15431"/>
    <w:rsid w:val="0BC24890"/>
    <w:rsid w:val="0BE5207C"/>
    <w:rsid w:val="0BED7182"/>
    <w:rsid w:val="0C374682"/>
    <w:rsid w:val="0C4D3932"/>
    <w:rsid w:val="0C5D0644"/>
    <w:rsid w:val="0C9902CB"/>
    <w:rsid w:val="0C9F3C04"/>
    <w:rsid w:val="0CA35646"/>
    <w:rsid w:val="0CA710DF"/>
    <w:rsid w:val="0CB2429F"/>
    <w:rsid w:val="0CC06C79"/>
    <w:rsid w:val="0CC275C2"/>
    <w:rsid w:val="0CC45B0B"/>
    <w:rsid w:val="0CC47AE0"/>
    <w:rsid w:val="0CCA1272"/>
    <w:rsid w:val="0CED04D1"/>
    <w:rsid w:val="0D077DD0"/>
    <w:rsid w:val="0D1F1B79"/>
    <w:rsid w:val="0D2221CF"/>
    <w:rsid w:val="0D314842"/>
    <w:rsid w:val="0D3F3A63"/>
    <w:rsid w:val="0D4A4657"/>
    <w:rsid w:val="0D636733"/>
    <w:rsid w:val="0D7E28D4"/>
    <w:rsid w:val="0D8F1C19"/>
    <w:rsid w:val="0D9332F2"/>
    <w:rsid w:val="0D97452C"/>
    <w:rsid w:val="0D9B249F"/>
    <w:rsid w:val="0DAA267F"/>
    <w:rsid w:val="0DAF0B93"/>
    <w:rsid w:val="0DCF4D92"/>
    <w:rsid w:val="0DDF31C4"/>
    <w:rsid w:val="0DE126F7"/>
    <w:rsid w:val="0DEF0A04"/>
    <w:rsid w:val="0DEF2F72"/>
    <w:rsid w:val="0DF30354"/>
    <w:rsid w:val="0E872DDA"/>
    <w:rsid w:val="0E884F40"/>
    <w:rsid w:val="0E99714E"/>
    <w:rsid w:val="0EAE4CFC"/>
    <w:rsid w:val="0EAF4BC3"/>
    <w:rsid w:val="0EB043BE"/>
    <w:rsid w:val="0EEB6125"/>
    <w:rsid w:val="0F13334C"/>
    <w:rsid w:val="0F177709"/>
    <w:rsid w:val="0F2F3DA2"/>
    <w:rsid w:val="0F334EAC"/>
    <w:rsid w:val="0F371F3D"/>
    <w:rsid w:val="0F55238D"/>
    <w:rsid w:val="0F622553"/>
    <w:rsid w:val="0F6366D9"/>
    <w:rsid w:val="0F8B2F3A"/>
    <w:rsid w:val="0FBF4CBA"/>
    <w:rsid w:val="0FCA4BC0"/>
    <w:rsid w:val="0FD246BF"/>
    <w:rsid w:val="0FDD2557"/>
    <w:rsid w:val="0FE91A0F"/>
    <w:rsid w:val="0FF860F6"/>
    <w:rsid w:val="103467A2"/>
    <w:rsid w:val="10545A22"/>
    <w:rsid w:val="10596B94"/>
    <w:rsid w:val="10641369"/>
    <w:rsid w:val="10670663"/>
    <w:rsid w:val="10670C25"/>
    <w:rsid w:val="10A5774D"/>
    <w:rsid w:val="10AB3168"/>
    <w:rsid w:val="10B657AF"/>
    <w:rsid w:val="10B842E3"/>
    <w:rsid w:val="10D12BCF"/>
    <w:rsid w:val="10E97854"/>
    <w:rsid w:val="10FB40F0"/>
    <w:rsid w:val="11036B00"/>
    <w:rsid w:val="11050ACA"/>
    <w:rsid w:val="110B193F"/>
    <w:rsid w:val="111B14AF"/>
    <w:rsid w:val="113118BF"/>
    <w:rsid w:val="1139171D"/>
    <w:rsid w:val="113B0990"/>
    <w:rsid w:val="114B0329"/>
    <w:rsid w:val="11665A0D"/>
    <w:rsid w:val="1176685F"/>
    <w:rsid w:val="11875983"/>
    <w:rsid w:val="118934A9"/>
    <w:rsid w:val="11C52B83"/>
    <w:rsid w:val="11DB4E78"/>
    <w:rsid w:val="11F02628"/>
    <w:rsid w:val="11FA76C0"/>
    <w:rsid w:val="12046FD4"/>
    <w:rsid w:val="121146D8"/>
    <w:rsid w:val="121C103D"/>
    <w:rsid w:val="122A3ABD"/>
    <w:rsid w:val="122B7525"/>
    <w:rsid w:val="12443874"/>
    <w:rsid w:val="124976CC"/>
    <w:rsid w:val="124A1AD0"/>
    <w:rsid w:val="126A32DB"/>
    <w:rsid w:val="1289089E"/>
    <w:rsid w:val="12893D4F"/>
    <w:rsid w:val="12893DD5"/>
    <w:rsid w:val="129739A4"/>
    <w:rsid w:val="129A36D8"/>
    <w:rsid w:val="12A00B29"/>
    <w:rsid w:val="12AB5A93"/>
    <w:rsid w:val="12AF44FB"/>
    <w:rsid w:val="12B5434C"/>
    <w:rsid w:val="12BB2601"/>
    <w:rsid w:val="12C07113"/>
    <w:rsid w:val="12D24F78"/>
    <w:rsid w:val="12E06F4B"/>
    <w:rsid w:val="12E17E37"/>
    <w:rsid w:val="12E60488"/>
    <w:rsid w:val="12EF558E"/>
    <w:rsid w:val="12FB6628"/>
    <w:rsid w:val="131B0A91"/>
    <w:rsid w:val="132A0CBC"/>
    <w:rsid w:val="13313DF9"/>
    <w:rsid w:val="134A3EDD"/>
    <w:rsid w:val="13505D80"/>
    <w:rsid w:val="136037DF"/>
    <w:rsid w:val="13834AE2"/>
    <w:rsid w:val="13AD1DDE"/>
    <w:rsid w:val="13B52678"/>
    <w:rsid w:val="13C702B9"/>
    <w:rsid w:val="13EB16C0"/>
    <w:rsid w:val="13F06993"/>
    <w:rsid w:val="13F235E2"/>
    <w:rsid w:val="13F56BD4"/>
    <w:rsid w:val="140A1B22"/>
    <w:rsid w:val="142678A0"/>
    <w:rsid w:val="145229EE"/>
    <w:rsid w:val="14763954"/>
    <w:rsid w:val="147A0C47"/>
    <w:rsid w:val="14CF52C6"/>
    <w:rsid w:val="14DB6291"/>
    <w:rsid w:val="15105118"/>
    <w:rsid w:val="15145780"/>
    <w:rsid w:val="15203760"/>
    <w:rsid w:val="153231FC"/>
    <w:rsid w:val="15397804"/>
    <w:rsid w:val="157915F7"/>
    <w:rsid w:val="15945CB1"/>
    <w:rsid w:val="15B5635A"/>
    <w:rsid w:val="15B64A89"/>
    <w:rsid w:val="15BA26C5"/>
    <w:rsid w:val="15DF2175"/>
    <w:rsid w:val="15DF7BB5"/>
    <w:rsid w:val="15E446E1"/>
    <w:rsid w:val="15F220F1"/>
    <w:rsid w:val="15F51D03"/>
    <w:rsid w:val="16015C46"/>
    <w:rsid w:val="16171536"/>
    <w:rsid w:val="161C27EE"/>
    <w:rsid w:val="163606C7"/>
    <w:rsid w:val="165535A8"/>
    <w:rsid w:val="167209A7"/>
    <w:rsid w:val="16807E38"/>
    <w:rsid w:val="16942A81"/>
    <w:rsid w:val="16A231D4"/>
    <w:rsid w:val="16D231FD"/>
    <w:rsid w:val="16D33825"/>
    <w:rsid w:val="16E7600E"/>
    <w:rsid w:val="16FB396E"/>
    <w:rsid w:val="170D0F8C"/>
    <w:rsid w:val="17100BB0"/>
    <w:rsid w:val="17415186"/>
    <w:rsid w:val="174948E6"/>
    <w:rsid w:val="17516817"/>
    <w:rsid w:val="17546308"/>
    <w:rsid w:val="176B55E5"/>
    <w:rsid w:val="17885FDE"/>
    <w:rsid w:val="178C2434"/>
    <w:rsid w:val="178D35C8"/>
    <w:rsid w:val="17A0154D"/>
    <w:rsid w:val="17A76437"/>
    <w:rsid w:val="17A87171"/>
    <w:rsid w:val="17AA35D6"/>
    <w:rsid w:val="17AB14FC"/>
    <w:rsid w:val="17AD5A18"/>
    <w:rsid w:val="17B869F2"/>
    <w:rsid w:val="17BF3C24"/>
    <w:rsid w:val="17C93611"/>
    <w:rsid w:val="17D631C0"/>
    <w:rsid w:val="17E76929"/>
    <w:rsid w:val="180C6BE2"/>
    <w:rsid w:val="18134AB0"/>
    <w:rsid w:val="181B7395"/>
    <w:rsid w:val="18384C49"/>
    <w:rsid w:val="184D31ED"/>
    <w:rsid w:val="184E55C6"/>
    <w:rsid w:val="18553600"/>
    <w:rsid w:val="18636913"/>
    <w:rsid w:val="186741FB"/>
    <w:rsid w:val="186D79F1"/>
    <w:rsid w:val="189229E8"/>
    <w:rsid w:val="18972B99"/>
    <w:rsid w:val="1899219C"/>
    <w:rsid w:val="189C0982"/>
    <w:rsid w:val="18AF1BD2"/>
    <w:rsid w:val="18D41D91"/>
    <w:rsid w:val="18F27029"/>
    <w:rsid w:val="190851DC"/>
    <w:rsid w:val="190A1374"/>
    <w:rsid w:val="190E21FB"/>
    <w:rsid w:val="191A70DD"/>
    <w:rsid w:val="191C083B"/>
    <w:rsid w:val="19383B62"/>
    <w:rsid w:val="193C3809"/>
    <w:rsid w:val="19435EE5"/>
    <w:rsid w:val="194415B2"/>
    <w:rsid w:val="1948625A"/>
    <w:rsid w:val="194D3733"/>
    <w:rsid w:val="195E1607"/>
    <w:rsid w:val="197A2879"/>
    <w:rsid w:val="199B4B7E"/>
    <w:rsid w:val="19A35987"/>
    <w:rsid w:val="19A370D2"/>
    <w:rsid w:val="19AC6E69"/>
    <w:rsid w:val="19BE6226"/>
    <w:rsid w:val="19D61174"/>
    <w:rsid w:val="19E02E43"/>
    <w:rsid w:val="1A044015"/>
    <w:rsid w:val="1A057174"/>
    <w:rsid w:val="1A1B0030"/>
    <w:rsid w:val="1A1D0C33"/>
    <w:rsid w:val="1A345F7C"/>
    <w:rsid w:val="1A4E6FFA"/>
    <w:rsid w:val="1A522233"/>
    <w:rsid w:val="1A75637E"/>
    <w:rsid w:val="1A7D4B93"/>
    <w:rsid w:val="1A812B85"/>
    <w:rsid w:val="1A9F0835"/>
    <w:rsid w:val="1AA129D4"/>
    <w:rsid w:val="1AAF38BD"/>
    <w:rsid w:val="1AB37D01"/>
    <w:rsid w:val="1ACA3082"/>
    <w:rsid w:val="1AD43678"/>
    <w:rsid w:val="1B095C55"/>
    <w:rsid w:val="1B2E6E70"/>
    <w:rsid w:val="1B466AA1"/>
    <w:rsid w:val="1B5A4C6F"/>
    <w:rsid w:val="1B6D7998"/>
    <w:rsid w:val="1B7C3207"/>
    <w:rsid w:val="1B803B6F"/>
    <w:rsid w:val="1B860A5A"/>
    <w:rsid w:val="1B911B18"/>
    <w:rsid w:val="1B986AAB"/>
    <w:rsid w:val="1B9E3FF5"/>
    <w:rsid w:val="1BBB372E"/>
    <w:rsid w:val="1BBE6686"/>
    <w:rsid w:val="1BC17CE4"/>
    <w:rsid w:val="1BE85965"/>
    <w:rsid w:val="1BED2CAE"/>
    <w:rsid w:val="1C01163A"/>
    <w:rsid w:val="1C1C324D"/>
    <w:rsid w:val="1C1F67D0"/>
    <w:rsid w:val="1C2565F6"/>
    <w:rsid w:val="1C5F2B89"/>
    <w:rsid w:val="1C640D09"/>
    <w:rsid w:val="1C754957"/>
    <w:rsid w:val="1C7A54CA"/>
    <w:rsid w:val="1C810B14"/>
    <w:rsid w:val="1C893584"/>
    <w:rsid w:val="1C8C3758"/>
    <w:rsid w:val="1C913B5A"/>
    <w:rsid w:val="1C9234AF"/>
    <w:rsid w:val="1C9553F8"/>
    <w:rsid w:val="1C962376"/>
    <w:rsid w:val="1C9A0C60"/>
    <w:rsid w:val="1CA5039E"/>
    <w:rsid w:val="1CA54D05"/>
    <w:rsid w:val="1CAA1D73"/>
    <w:rsid w:val="1CB96D10"/>
    <w:rsid w:val="1CCF21D0"/>
    <w:rsid w:val="1CE4401A"/>
    <w:rsid w:val="1D026541"/>
    <w:rsid w:val="1D0C4F8F"/>
    <w:rsid w:val="1D1C34ED"/>
    <w:rsid w:val="1D264E53"/>
    <w:rsid w:val="1D2D5631"/>
    <w:rsid w:val="1D500040"/>
    <w:rsid w:val="1D5A03F0"/>
    <w:rsid w:val="1D5D4F87"/>
    <w:rsid w:val="1D633B49"/>
    <w:rsid w:val="1D634E9E"/>
    <w:rsid w:val="1D644DCB"/>
    <w:rsid w:val="1D7C6289"/>
    <w:rsid w:val="1D880AB9"/>
    <w:rsid w:val="1D9E4F98"/>
    <w:rsid w:val="1DA569DD"/>
    <w:rsid w:val="1DB87F26"/>
    <w:rsid w:val="1DBC0E33"/>
    <w:rsid w:val="1DC60F7B"/>
    <w:rsid w:val="1DE41820"/>
    <w:rsid w:val="1DE55F0B"/>
    <w:rsid w:val="1DEF2847"/>
    <w:rsid w:val="1DFE7C14"/>
    <w:rsid w:val="1E0A3BC4"/>
    <w:rsid w:val="1E311151"/>
    <w:rsid w:val="1E4B7B02"/>
    <w:rsid w:val="1E4C3AD9"/>
    <w:rsid w:val="1E586977"/>
    <w:rsid w:val="1E60331A"/>
    <w:rsid w:val="1E625A46"/>
    <w:rsid w:val="1E6366B7"/>
    <w:rsid w:val="1E7914AB"/>
    <w:rsid w:val="1E8745FD"/>
    <w:rsid w:val="1E9F196B"/>
    <w:rsid w:val="1EBA7398"/>
    <w:rsid w:val="1EC22798"/>
    <w:rsid w:val="1ED52C79"/>
    <w:rsid w:val="1EF359AA"/>
    <w:rsid w:val="1EFD1610"/>
    <w:rsid w:val="1F082E96"/>
    <w:rsid w:val="1F26058A"/>
    <w:rsid w:val="1F386CF6"/>
    <w:rsid w:val="1F4C2D1D"/>
    <w:rsid w:val="1F6317DE"/>
    <w:rsid w:val="1F892003"/>
    <w:rsid w:val="1F9D7ED4"/>
    <w:rsid w:val="1FB02549"/>
    <w:rsid w:val="1FBD0AC0"/>
    <w:rsid w:val="1FCB1131"/>
    <w:rsid w:val="1FCD12B7"/>
    <w:rsid w:val="1FD9553E"/>
    <w:rsid w:val="1FDE7E0B"/>
    <w:rsid w:val="1FE3316F"/>
    <w:rsid w:val="1FF50C58"/>
    <w:rsid w:val="2008286C"/>
    <w:rsid w:val="201B3E66"/>
    <w:rsid w:val="20465DDE"/>
    <w:rsid w:val="20535D7A"/>
    <w:rsid w:val="205C6757"/>
    <w:rsid w:val="20696181"/>
    <w:rsid w:val="206E4522"/>
    <w:rsid w:val="20753D03"/>
    <w:rsid w:val="207B47C8"/>
    <w:rsid w:val="207E1D97"/>
    <w:rsid w:val="20A13AB6"/>
    <w:rsid w:val="20B04577"/>
    <w:rsid w:val="20C20786"/>
    <w:rsid w:val="20C9519F"/>
    <w:rsid w:val="20DD736E"/>
    <w:rsid w:val="20E46F1F"/>
    <w:rsid w:val="20F91E45"/>
    <w:rsid w:val="21077D68"/>
    <w:rsid w:val="210D3335"/>
    <w:rsid w:val="21101B07"/>
    <w:rsid w:val="211E0C4B"/>
    <w:rsid w:val="21260BD4"/>
    <w:rsid w:val="214B2529"/>
    <w:rsid w:val="215D46CD"/>
    <w:rsid w:val="215E49D2"/>
    <w:rsid w:val="216E0FE0"/>
    <w:rsid w:val="219A25E6"/>
    <w:rsid w:val="219C1131"/>
    <w:rsid w:val="21A6582E"/>
    <w:rsid w:val="21BB6F34"/>
    <w:rsid w:val="21C30694"/>
    <w:rsid w:val="21CB18BC"/>
    <w:rsid w:val="21CF4F08"/>
    <w:rsid w:val="21D0518B"/>
    <w:rsid w:val="21DE514B"/>
    <w:rsid w:val="21E00458"/>
    <w:rsid w:val="21FA7AAB"/>
    <w:rsid w:val="220E291B"/>
    <w:rsid w:val="2213297A"/>
    <w:rsid w:val="221958A3"/>
    <w:rsid w:val="222506BA"/>
    <w:rsid w:val="22327245"/>
    <w:rsid w:val="223C6316"/>
    <w:rsid w:val="225D758A"/>
    <w:rsid w:val="22615607"/>
    <w:rsid w:val="227B1B4C"/>
    <w:rsid w:val="227F6CD3"/>
    <w:rsid w:val="22A80E24"/>
    <w:rsid w:val="22BD2FB3"/>
    <w:rsid w:val="22CE4BAC"/>
    <w:rsid w:val="22D379CD"/>
    <w:rsid w:val="22DB527D"/>
    <w:rsid w:val="22DC0FAF"/>
    <w:rsid w:val="22E54275"/>
    <w:rsid w:val="22E86E05"/>
    <w:rsid w:val="23156A21"/>
    <w:rsid w:val="23250B58"/>
    <w:rsid w:val="23390C40"/>
    <w:rsid w:val="235517CF"/>
    <w:rsid w:val="2356246C"/>
    <w:rsid w:val="235D356C"/>
    <w:rsid w:val="235D5D69"/>
    <w:rsid w:val="236D5662"/>
    <w:rsid w:val="237603DE"/>
    <w:rsid w:val="2378337E"/>
    <w:rsid w:val="237D3DBF"/>
    <w:rsid w:val="238B1303"/>
    <w:rsid w:val="23923BFE"/>
    <w:rsid w:val="239A7798"/>
    <w:rsid w:val="23A6490B"/>
    <w:rsid w:val="23BC4676"/>
    <w:rsid w:val="23C50687"/>
    <w:rsid w:val="23EC5AD3"/>
    <w:rsid w:val="23F61643"/>
    <w:rsid w:val="242950AE"/>
    <w:rsid w:val="24311EAA"/>
    <w:rsid w:val="24373239"/>
    <w:rsid w:val="243D353F"/>
    <w:rsid w:val="245D04B6"/>
    <w:rsid w:val="24791413"/>
    <w:rsid w:val="24936454"/>
    <w:rsid w:val="249F7BB0"/>
    <w:rsid w:val="24A765DD"/>
    <w:rsid w:val="24BE3517"/>
    <w:rsid w:val="24C547CF"/>
    <w:rsid w:val="24C97C25"/>
    <w:rsid w:val="24DE3B96"/>
    <w:rsid w:val="24E16D01"/>
    <w:rsid w:val="24E630F2"/>
    <w:rsid w:val="24F04401"/>
    <w:rsid w:val="250C046E"/>
    <w:rsid w:val="250D7AF6"/>
    <w:rsid w:val="250F1AC0"/>
    <w:rsid w:val="252178FB"/>
    <w:rsid w:val="252F3F10"/>
    <w:rsid w:val="25307DF5"/>
    <w:rsid w:val="25317C88"/>
    <w:rsid w:val="25545725"/>
    <w:rsid w:val="25583467"/>
    <w:rsid w:val="255C1211"/>
    <w:rsid w:val="25652B3A"/>
    <w:rsid w:val="257739C1"/>
    <w:rsid w:val="257F27A2"/>
    <w:rsid w:val="258B020C"/>
    <w:rsid w:val="25900E53"/>
    <w:rsid w:val="25AC0C7A"/>
    <w:rsid w:val="25BB24C5"/>
    <w:rsid w:val="25C84812"/>
    <w:rsid w:val="26043091"/>
    <w:rsid w:val="260824D7"/>
    <w:rsid w:val="262C7D7F"/>
    <w:rsid w:val="26395046"/>
    <w:rsid w:val="263A0DBE"/>
    <w:rsid w:val="263E6613"/>
    <w:rsid w:val="2641214D"/>
    <w:rsid w:val="265A1EC1"/>
    <w:rsid w:val="265A6E09"/>
    <w:rsid w:val="266D20BD"/>
    <w:rsid w:val="266F6CBA"/>
    <w:rsid w:val="267267AA"/>
    <w:rsid w:val="267660A0"/>
    <w:rsid w:val="26775B6F"/>
    <w:rsid w:val="267A31CC"/>
    <w:rsid w:val="26826E4F"/>
    <w:rsid w:val="26B22F95"/>
    <w:rsid w:val="26C2380E"/>
    <w:rsid w:val="26C32AA4"/>
    <w:rsid w:val="26C436A5"/>
    <w:rsid w:val="26D1684A"/>
    <w:rsid w:val="26E77493"/>
    <w:rsid w:val="26F1147D"/>
    <w:rsid w:val="26F870D8"/>
    <w:rsid w:val="27007912"/>
    <w:rsid w:val="27257379"/>
    <w:rsid w:val="27577D21"/>
    <w:rsid w:val="275F7907"/>
    <w:rsid w:val="27682B6A"/>
    <w:rsid w:val="276854B7"/>
    <w:rsid w:val="27767845"/>
    <w:rsid w:val="27851763"/>
    <w:rsid w:val="2788703F"/>
    <w:rsid w:val="278F5D45"/>
    <w:rsid w:val="27947B4B"/>
    <w:rsid w:val="279E76BD"/>
    <w:rsid w:val="27B649FD"/>
    <w:rsid w:val="27B973DA"/>
    <w:rsid w:val="27C7216F"/>
    <w:rsid w:val="27CC1EEA"/>
    <w:rsid w:val="27D9156C"/>
    <w:rsid w:val="27DD7D2C"/>
    <w:rsid w:val="27F1698F"/>
    <w:rsid w:val="28161DD2"/>
    <w:rsid w:val="284502E4"/>
    <w:rsid w:val="28707B0F"/>
    <w:rsid w:val="2889487C"/>
    <w:rsid w:val="288D1679"/>
    <w:rsid w:val="28976054"/>
    <w:rsid w:val="289C12CC"/>
    <w:rsid w:val="28D1769B"/>
    <w:rsid w:val="28FE4325"/>
    <w:rsid w:val="29022659"/>
    <w:rsid w:val="290E2564"/>
    <w:rsid w:val="292A511A"/>
    <w:rsid w:val="292D1E3C"/>
    <w:rsid w:val="292D61FB"/>
    <w:rsid w:val="29506DE0"/>
    <w:rsid w:val="295A0D22"/>
    <w:rsid w:val="2967654E"/>
    <w:rsid w:val="297C00DC"/>
    <w:rsid w:val="29871073"/>
    <w:rsid w:val="29925909"/>
    <w:rsid w:val="2996630C"/>
    <w:rsid w:val="299C2A61"/>
    <w:rsid w:val="29A66E26"/>
    <w:rsid w:val="29AB49D4"/>
    <w:rsid w:val="29BA5EFC"/>
    <w:rsid w:val="29CA071C"/>
    <w:rsid w:val="29CC7F7F"/>
    <w:rsid w:val="29CF391F"/>
    <w:rsid w:val="2A165033"/>
    <w:rsid w:val="2A187669"/>
    <w:rsid w:val="2A1C4474"/>
    <w:rsid w:val="2A2878AC"/>
    <w:rsid w:val="2A2C2A9A"/>
    <w:rsid w:val="2A407FCD"/>
    <w:rsid w:val="2A46526C"/>
    <w:rsid w:val="2A64371D"/>
    <w:rsid w:val="2A64465C"/>
    <w:rsid w:val="2A7004D1"/>
    <w:rsid w:val="2A864744"/>
    <w:rsid w:val="2AB45687"/>
    <w:rsid w:val="2AB96E16"/>
    <w:rsid w:val="2ABF4B61"/>
    <w:rsid w:val="2AC15605"/>
    <w:rsid w:val="2AC20892"/>
    <w:rsid w:val="2AD7157D"/>
    <w:rsid w:val="2AFB41B2"/>
    <w:rsid w:val="2B0962C7"/>
    <w:rsid w:val="2B1567A0"/>
    <w:rsid w:val="2B1B0B0A"/>
    <w:rsid w:val="2B2D72D5"/>
    <w:rsid w:val="2B367DA6"/>
    <w:rsid w:val="2B6753D5"/>
    <w:rsid w:val="2B913EBB"/>
    <w:rsid w:val="2B956D17"/>
    <w:rsid w:val="2B9626E2"/>
    <w:rsid w:val="2BA724C0"/>
    <w:rsid w:val="2BA872EF"/>
    <w:rsid w:val="2BC74EA2"/>
    <w:rsid w:val="2BD365EF"/>
    <w:rsid w:val="2BD663FA"/>
    <w:rsid w:val="2BFC063C"/>
    <w:rsid w:val="2C0F6A0A"/>
    <w:rsid w:val="2C1C4BD5"/>
    <w:rsid w:val="2C1F66C0"/>
    <w:rsid w:val="2C2D2F0B"/>
    <w:rsid w:val="2C464127"/>
    <w:rsid w:val="2C471B3F"/>
    <w:rsid w:val="2C4B7881"/>
    <w:rsid w:val="2C537074"/>
    <w:rsid w:val="2C5C7D45"/>
    <w:rsid w:val="2C611B81"/>
    <w:rsid w:val="2C6C1EDD"/>
    <w:rsid w:val="2C7B6A6F"/>
    <w:rsid w:val="2C8114F5"/>
    <w:rsid w:val="2CA42780"/>
    <w:rsid w:val="2CA42D01"/>
    <w:rsid w:val="2CAE7E10"/>
    <w:rsid w:val="2CE16E3B"/>
    <w:rsid w:val="2D0363AE"/>
    <w:rsid w:val="2D296F7E"/>
    <w:rsid w:val="2D364287"/>
    <w:rsid w:val="2D3B0E61"/>
    <w:rsid w:val="2D3C391E"/>
    <w:rsid w:val="2D3D3C21"/>
    <w:rsid w:val="2D492670"/>
    <w:rsid w:val="2D7A5036"/>
    <w:rsid w:val="2D7E70F0"/>
    <w:rsid w:val="2DA4692E"/>
    <w:rsid w:val="2DAF74A3"/>
    <w:rsid w:val="2DCE2518"/>
    <w:rsid w:val="2DCE65E2"/>
    <w:rsid w:val="2DFE60CF"/>
    <w:rsid w:val="2E00644A"/>
    <w:rsid w:val="2E0A72C8"/>
    <w:rsid w:val="2E144007"/>
    <w:rsid w:val="2E1648FD"/>
    <w:rsid w:val="2E395380"/>
    <w:rsid w:val="2E3B5F79"/>
    <w:rsid w:val="2E4548F7"/>
    <w:rsid w:val="2E4B5422"/>
    <w:rsid w:val="2E4D2DCC"/>
    <w:rsid w:val="2E552F68"/>
    <w:rsid w:val="2E5C5D76"/>
    <w:rsid w:val="2EB711FE"/>
    <w:rsid w:val="2EED4C20"/>
    <w:rsid w:val="2EF36D4D"/>
    <w:rsid w:val="2EFF3BAD"/>
    <w:rsid w:val="2F0957D2"/>
    <w:rsid w:val="2F14349A"/>
    <w:rsid w:val="2F201642"/>
    <w:rsid w:val="2F2A7C22"/>
    <w:rsid w:val="2F7B66D0"/>
    <w:rsid w:val="2FA71273"/>
    <w:rsid w:val="2FAC51B5"/>
    <w:rsid w:val="2FBB68F0"/>
    <w:rsid w:val="2FD7142C"/>
    <w:rsid w:val="2FF877B3"/>
    <w:rsid w:val="2FFE2E5D"/>
    <w:rsid w:val="30034985"/>
    <w:rsid w:val="300963EF"/>
    <w:rsid w:val="3012671B"/>
    <w:rsid w:val="301276FE"/>
    <w:rsid w:val="30137DB2"/>
    <w:rsid w:val="3017489B"/>
    <w:rsid w:val="302347D1"/>
    <w:rsid w:val="302C79CA"/>
    <w:rsid w:val="302F44C3"/>
    <w:rsid w:val="30590E59"/>
    <w:rsid w:val="30656A38"/>
    <w:rsid w:val="306643DA"/>
    <w:rsid w:val="30890F6E"/>
    <w:rsid w:val="308E41E1"/>
    <w:rsid w:val="309D2676"/>
    <w:rsid w:val="30A50A6C"/>
    <w:rsid w:val="30AF04EE"/>
    <w:rsid w:val="30C01A31"/>
    <w:rsid w:val="30D60C2F"/>
    <w:rsid w:val="30DD5CC1"/>
    <w:rsid w:val="30F00ED4"/>
    <w:rsid w:val="30F436B0"/>
    <w:rsid w:val="311A3CC6"/>
    <w:rsid w:val="31273499"/>
    <w:rsid w:val="31303A10"/>
    <w:rsid w:val="313B0D66"/>
    <w:rsid w:val="313B1233"/>
    <w:rsid w:val="313C3FA0"/>
    <w:rsid w:val="31476E05"/>
    <w:rsid w:val="315076E8"/>
    <w:rsid w:val="31572415"/>
    <w:rsid w:val="31716E4F"/>
    <w:rsid w:val="318114BF"/>
    <w:rsid w:val="31841C56"/>
    <w:rsid w:val="31914EBE"/>
    <w:rsid w:val="31945827"/>
    <w:rsid w:val="31A968E5"/>
    <w:rsid w:val="31C0524D"/>
    <w:rsid w:val="31CB08D3"/>
    <w:rsid w:val="31D10939"/>
    <w:rsid w:val="31D67EB0"/>
    <w:rsid w:val="31EA47E2"/>
    <w:rsid w:val="31F22FED"/>
    <w:rsid w:val="31F703E0"/>
    <w:rsid w:val="31FD65DD"/>
    <w:rsid w:val="32105D8A"/>
    <w:rsid w:val="321B20A7"/>
    <w:rsid w:val="321C1766"/>
    <w:rsid w:val="323D4C19"/>
    <w:rsid w:val="32695678"/>
    <w:rsid w:val="32785602"/>
    <w:rsid w:val="328A7A80"/>
    <w:rsid w:val="328B4EF3"/>
    <w:rsid w:val="32960B1E"/>
    <w:rsid w:val="32A80787"/>
    <w:rsid w:val="32BC3234"/>
    <w:rsid w:val="32BF4419"/>
    <w:rsid w:val="32CC1510"/>
    <w:rsid w:val="32DC4FB9"/>
    <w:rsid w:val="330E33B7"/>
    <w:rsid w:val="330F21CD"/>
    <w:rsid w:val="330F488E"/>
    <w:rsid w:val="3316004C"/>
    <w:rsid w:val="331B4033"/>
    <w:rsid w:val="331D7CE2"/>
    <w:rsid w:val="331F0CB7"/>
    <w:rsid w:val="33261A49"/>
    <w:rsid w:val="333077D1"/>
    <w:rsid w:val="33466392"/>
    <w:rsid w:val="33572C00"/>
    <w:rsid w:val="33580CA2"/>
    <w:rsid w:val="33696B18"/>
    <w:rsid w:val="336E14D7"/>
    <w:rsid w:val="33791DEE"/>
    <w:rsid w:val="33835B53"/>
    <w:rsid w:val="338806E6"/>
    <w:rsid w:val="338C391E"/>
    <w:rsid w:val="33A0020E"/>
    <w:rsid w:val="33D95B23"/>
    <w:rsid w:val="33E22604"/>
    <w:rsid w:val="33E505BB"/>
    <w:rsid w:val="33FB77E0"/>
    <w:rsid w:val="33FE3846"/>
    <w:rsid w:val="340251A4"/>
    <w:rsid w:val="341B04AF"/>
    <w:rsid w:val="34347FB7"/>
    <w:rsid w:val="34496861"/>
    <w:rsid w:val="344C3234"/>
    <w:rsid w:val="34657A3E"/>
    <w:rsid w:val="346E0FD9"/>
    <w:rsid w:val="34702AD1"/>
    <w:rsid w:val="34727975"/>
    <w:rsid w:val="34820207"/>
    <w:rsid w:val="349A1906"/>
    <w:rsid w:val="34A25FCB"/>
    <w:rsid w:val="34C269B7"/>
    <w:rsid w:val="34C31932"/>
    <w:rsid w:val="34C60DA7"/>
    <w:rsid w:val="34D91C9E"/>
    <w:rsid w:val="34DF5AD4"/>
    <w:rsid w:val="34E76FB8"/>
    <w:rsid w:val="34ED5012"/>
    <w:rsid w:val="34F77E35"/>
    <w:rsid w:val="350607E9"/>
    <w:rsid w:val="35186B0E"/>
    <w:rsid w:val="351B4296"/>
    <w:rsid w:val="35202F2E"/>
    <w:rsid w:val="35215623"/>
    <w:rsid w:val="35486CE3"/>
    <w:rsid w:val="355569F3"/>
    <w:rsid w:val="356E716F"/>
    <w:rsid w:val="35862987"/>
    <w:rsid w:val="35891377"/>
    <w:rsid w:val="35B172AD"/>
    <w:rsid w:val="35C077BF"/>
    <w:rsid w:val="35CC3C84"/>
    <w:rsid w:val="35D86D38"/>
    <w:rsid w:val="35EA010B"/>
    <w:rsid w:val="35ED19A9"/>
    <w:rsid w:val="35F13828"/>
    <w:rsid w:val="35F25BA9"/>
    <w:rsid w:val="35F47F15"/>
    <w:rsid w:val="35FA3845"/>
    <w:rsid w:val="35FC1BEC"/>
    <w:rsid w:val="360E1EF1"/>
    <w:rsid w:val="3612426B"/>
    <w:rsid w:val="36126734"/>
    <w:rsid w:val="362D4002"/>
    <w:rsid w:val="36415851"/>
    <w:rsid w:val="36672B5A"/>
    <w:rsid w:val="366753DC"/>
    <w:rsid w:val="366C31CA"/>
    <w:rsid w:val="36745C27"/>
    <w:rsid w:val="369167D9"/>
    <w:rsid w:val="369B3199"/>
    <w:rsid w:val="369D4494"/>
    <w:rsid w:val="36A46F3E"/>
    <w:rsid w:val="36A80374"/>
    <w:rsid w:val="36AB4646"/>
    <w:rsid w:val="36B53974"/>
    <w:rsid w:val="36D6068F"/>
    <w:rsid w:val="36D677DC"/>
    <w:rsid w:val="36F54FB9"/>
    <w:rsid w:val="371A4A20"/>
    <w:rsid w:val="371B2BBA"/>
    <w:rsid w:val="373507B3"/>
    <w:rsid w:val="373F0F7B"/>
    <w:rsid w:val="37447001"/>
    <w:rsid w:val="375714A5"/>
    <w:rsid w:val="37685806"/>
    <w:rsid w:val="37725C8B"/>
    <w:rsid w:val="37732382"/>
    <w:rsid w:val="377E0052"/>
    <w:rsid w:val="378666B9"/>
    <w:rsid w:val="378A5316"/>
    <w:rsid w:val="3791386B"/>
    <w:rsid w:val="379D47A0"/>
    <w:rsid w:val="37AB6878"/>
    <w:rsid w:val="37AE7350"/>
    <w:rsid w:val="37CA70C2"/>
    <w:rsid w:val="37ED5F36"/>
    <w:rsid w:val="37EF0B92"/>
    <w:rsid w:val="37F00148"/>
    <w:rsid w:val="37F65F7B"/>
    <w:rsid w:val="384A3313"/>
    <w:rsid w:val="385D668D"/>
    <w:rsid w:val="38680DBA"/>
    <w:rsid w:val="387A1542"/>
    <w:rsid w:val="38804D7F"/>
    <w:rsid w:val="38B4055C"/>
    <w:rsid w:val="38C6551B"/>
    <w:rsid w:val="38C763F7"/>
    <w:rsid w:val="38CD6128"/>
    <w:rsid w:val="38D00279"/>
    <w:rsid w:val="38D34E55"/>
    <w:rsid w:val="38FD63A7"/>
    <w:rsid w:val="38FE59C3"/>
    <w:rsid w:val="39072D82"/>
    <w:rsid w:val="391036B0"/>
    <w:rsid w:val="39264DEF"/>
    <w:rsid w:val="393253BF"/>
    <w:rsid w:val="393419C0"/>
    <w:rsid w:val="39417DE7"/>
    <w:rsid w:val="39536EAC"/>
    <w:rsid w:val="39900FC9"/>
    <w:rsid w:val="399867B3"/>
    <w:rsid w:val="39A17917"/>
    <w:rsid w:val="39A35DB5"/>
    <w:rsid w:val="39AD0942"/>
    <w:rsid w:val="39B8474B"/>
    <w:rsid w:val="39C12F31"/>
    <w:rsid w:val="39CC34EC"/>
    <w:rsid w:val="39D10A67"/>
    <w:rsid w:val="39E34872"/>
    <w:rsid w:val="39E76003"/>
    <w:rsid w:val="39E97FC2"/>
    <w:rsid w:val="39F33306"/>
    <w:rsid w:val="39FF1CAB"/>
    <w:rsid w:val="3A0D7972"/>
    <w:rsid w:val="3A3319BC"/>
    <w:rsid w:val="3A570BEC"/>
    <w:rsid w:val="3A5B4AF3"/>
    <w:rsid w:val="3A5E7EB0"/>
    <w:rsid w:val="3A791A5E"/>
    <w:rsid w:val="3A7F2556"/>
    <w:rsid w:val="3A847BED"/>
    <w:rsid w:val="3A884F42"/>
    <w:rsid w:val="3A90777C"/>
    <w:rsid w:val="3A96260F"/>
    <w:rsid w:val="3AA62050"/>
    <w:rsid w:val="3AD62474"/>
    <w:rsid w:val="3AE92093"/>
    <w:rsid w:val="3AEB6DD0"/>
    <w:rsid w:val="3B0F23C2"/>
    <w:rsid w:val="3B2A2D58"/>
    <w:rsid w:val="3B2C4652"/>
    <w:rsid w:val="3B306F6E"/>
    <w:rsid w:val="3B385475"/>
    <w:rsid w:val="3B516536"/>
    <w:rsid w:val="3B542B8C"/>
    <w:rsid w:val="3B5673BC"/>
    <w:rsid w:val="3B62784D"/>
    <w:rsid w:val="3B6C7D27"/>
    <w:rsid w:val="3B6E70E8"/>
    <w:rsid w:val="3B70143E"/>
    <w:rsid w:val="3BA02988"/>
    <w:rsid w:val="3BA945C4"/>
    <w:rsid w:val="3BAA268C"/>
    <w:rsid w:val="3BD86C58"/>
    <w:rsid w:val="3BFF2E93"/>
    <w:rsid w:val="3BFF5F92"/>
    <w:rsid w:val="3C254886"/>
    <w:rsid w:val="3C351FEC"/>
    <w:rsid w:val="3C472159"/>
    <w:rsid w:val="3C641EA1"/>
    <w:rsid w:val="3C753F8B"/>
    <w:rsid w:val="3C7626F9"/>
    <w:rsid w:val="3C846FAD"/>
    <w:rsid w:val="3C8D46B4"/>
    <w:rsid w:val="3C9C35B9"/>
    <w:rsid w:val="3CA13EA8"/>
    <w:rsid w:val="3CCD5185"/>
    <w:rsid w:val="3CE968B1"/>
    <w:rsid w:val="3D0D2931"/>
    <w:rsid w:val="3D0F0B78"/>
    <w:rsid w:val="3D2C2137"/>
    <w:rsid w:val="3D52271E"/>
    <w:rsid w:val="3D5D7E50"/>
    <w:rsid w:val="3D6A7D83"/>
    <w:rsid w:val="3D6F0EF6"/>
    <w:rsid w:val="3D805ADE"/>
    <w:rsid w:val="3D9F7A2D"/>
    <w:rsid w:val="3DB4636A"/>
    <w:rsid w:val="3DBC3B34"/>
    <w:rsid w:val="3DBE45B4"/>
    <w:rsid w:val="3DBF5B1E"/>
    <w:rsid w:val="3DDC196C"/>
    <w:rsid w:val="3DDF5F0E"/>
    <w:rsid w:val="3DE2791A"/>
    <w:rsid w:val="3DEB24D1"/>
    <w:rsid w:val="3DF75E86"/>
    <w:rsid w:val="3DF77869"/>
    <w:rsid w:val="3E0047CB"/>
    <w:rsid w:val="3E1A4534"/>
    <w:rsid w:val="3E231C6E"/>
    <w:rsid w:val="3E3A7FFE"/>
    <w:rsid w:val="3E3E15DB"/>
    <w:rsid w:val="3E4668D1"/>
    <w:rsid w:val="3E672300"/>
    <w:rsid w:val="3E6B790F"/>
    <w:rsid w:val="3E6E5FBE"/>
    <w:rsid w:val="3E823CCF"/>
    <w:rsid w:val="3E9A52C5"/>
    <w:rsid w:val="3EB63280"/>
    <w:rsid w:val="3ED10281"/>
    <w:rsid w:val="3EEF03A7"/>
    <w:rsid w:val="3EEF0DB8"/>
    <w:rsid w:val="3EF1205A"/>
    <w:rsid w:val="3EF9232B"/>
    <w:rsid w:val="3EF93CF5"/>
    <w:rsid w:val="3EFB7879"/>
    <w:rsid w:val="3F063A52"/>
    <w:rsid w:val="3F3B7FEF"/>
    <w:rsid w:val="3F3E5024"/>
    <w:rsid w:val="3F415E91"/>
    <w:rsid w:val="3F4F5483"/>
    <w:rsid w:val="3F7E1DA2"/>
    <w:rsid w:val="3F80388E"/>
    <w:rsid w:val="3F822247"/>
    <w:rsid w:val="3F885DB5"/>
    <w:rsid w:val="3FA006F3"/>
    <w:rsid w:val="3FC17AE3"/>
    <w:rsid w:val="3FC77B4E"/>
    <w:rsid w:val="3FD02FC5"/>
    <w:rsid w:val="3FF2083F"/>
    <w:rsid w:val="3FF236DC"/>
    <w:rsid w:val="40020528"/>
    <w:rsid w:val="4004407C"/>
    <w:rsid w:val="400F31A1"/>
    <w:rsid w:val="401C5C20"/>
    <w:rsid w:val="40246B10"/>
    <w:rsid w:val="40294A86"/>
    <w:rsid w:val="40340B8F"/>
    <w:rsid w:val="403D64A9"/>
    <w:rsid w:val="406B4187"/>
    <w:rsid w:val="407040B6"/>
    <w:rsid w:val="407056B1"/>
    <w:rsid w:val="408220D7"/>
    <w:rsid w:val="40867CA2"/>
    <w:rsid w:val="40897CA0"/>
    <w:rsid w:val="408B1B3D"/>
    <w:rsid w:val="4093228B"/>
    <w:rsid w:val="40972C3D"/>
    <w:rsid w:val="40A62E81"/>
    <w:rsid w:val="40AF5800"/>
    <w:rsid w:val="40B76E3C"/>
    <w:rsid w:val="40D7128C"/>
    <w:rsid w:val="40EB11DB"/>
    <w:rsid w:val="40F661C2"/>
    <w:rsid w:val="40F76630"/>
    <w:rsid w:val="41095380"/>
    <w:rsid w:val="41290674"/>
    <w:rsid w:val="41500B24"/>
    <w:rsid w:val="41785560"/>
    <w:rsid w:val="417966B4"/>
    <w:rsid w:val="418807D8"/>
    <w:rsid w:val="41895E6F"/>
    <w:rsid w:val="419D0727"/>
    <w:rsid w:val="41A41AB6"/>
    <w:rsid w:val="41A97A63"/>
    <w:rsid w:val="41B16A4B"/>
    <w:rsid w:val="41D1217F"/>
    <w:rsid w:val="41D6428B"/>
    <w:rsid w:val="41D774D7"/>
    <w:rsid w:val="41DB09DE"/>
    <w:rsid w:val="41E72DD2"/>
    <w:rsid w:val="421F2C0D"/>
    <w:rsid w:val="4228669B"/>
    <w:rsid w:val="422F1694"/>
    <w:rsid w:val="42553A5C"/>
    <w:rsid w:val="425863FC"/>
    <w:rsid w:val="425F59DD"/>
    <w:rsid w:val="42611755"/>
    <w:rsid w:val="42652791"/>
    <w:rsid w:val="42666D6B"/>
    <w:rsid w:val="426B25D4"/>
    <w:rsid w:val="42787373"/>
    <w:rsid w:val="4280707D"/>
    <w:rsid w:val="429C453B"/>
    <w:rsid w:val="42A5589B"/>
    <w:rsid w:val="42AE5935"/>
    <w:rsid w:val="42CC556F"/>
    <w:rsid w:val="42DD4453"/>
    <w:rsid w:val="42EF5C39"/>
    <w:rsid w:val="43030A5E"/>
    <w:rsid w:val="43095949"/>
    <w:rsid w:val="433F3028"/>
    <w:rsid w:val="434204EB"/>
    <w:rsid w:val="43430E5B"/>
    <w:rsid w:val="43444CD4"/>
    <w:rsid w:val="43452E25"/>
    <w:rsid w:val="43526A49"/>
    <w:rsid w:val="4355769C"/>
    <w:rsid w:val="43583445"/>
    <w:rsid w:val="435D7DD4"/>
    <w:rsid w:val="435F680E"/>
    <w:rsid w:val="43C17D4A"/>
    <w:rsid w:val="43E06D1B"/>
    <w:rsid w:val="43E50164"/>
    <w:rsid w:val="43ED566B"/>
    <w:rsid w:val="43F04528"/>
    <w:rsid w:val="44045942"/>
    <w:rsid w:val="441822E7"/>
    <w:rsid w:val="443471A7"/>
    <w:rsid w:val="4439341B"/>
    <w:rsid w:val="44520E7F"/>
    <w:rsid w:val="445A38A7"/>
    <w:rsid w:val="447B63D2"/>
    <w:rsid w:val="44931538"/>
    <w:rsid w:val="449A32A9"/>
    <w:rsid w:val="44A22708"/>
    <w:rsid w:val="44AF170F"/>
    <w:rsid w:val="44C91833"/>
    <w:rsid w:val="44C91E6A"/>
    <w:rsid w:val="44D574AE"/>
    <w:rsid w:val="44EE4B15"/>
    <w:rsid w:val="44EF27FF"/>
    <w:rsid w:val="45067EAE"/>
    <w:rsid w:val="4515713C"/>
    <w:rsid w:val="4517259F"/>
    <w:rsid w:val="451900C5"/>
    <w:rsid w:val="451C4035"/>
    <w:rsid w:val="45252F0E"/>
    <w:rsid w:val="45264590"/>
    <w:rsid w:val="452C4595"/>
    <w:rsid w:val="4533037D"/>
    <w:rsid w:val="45435653"/>
    <w:rsid w:val="4551121D"/>
    <w:rsid w:val="456E7C58"/>
    <w:rsid w:val="45764948"/>
    <w:rsid w:val="45801D85"/>
    <w:rsid w:val="45A33CA7"/>
    <w:rsid w:val="45A831F7"/>
    <w:rsid w:val="45AA02F2"/>
    <w:rsid w:val="45AC5B56"/>
    <w:rsid w:val="45D8300F"/>
    <w:rsid w:val="45EC3A2B"/>
    <w:rsid w:val="45ED2EEB"/>
    <w:rsid w:val="45FF3083"/>
    <w:rsid w:val="460074B0"/>
    <w:rsid w:val="4603716D"/>
    <w:rsid w:val="46325A3D"/>
    <w:rsid w:val="464158BD"/>
    <w:rsid w:val="466B0DF4"/>
    <w:rsid w:val="467D3F25"/>
    <w:rsid w:val="467E4117"/>
    <w:rsid w:val="46845629"/>
    <w:rsid w:val="46867535"/>
    <w:rsid w:val="468736AD"/>
    <w:rsid w:val="46877951"/>
    <w:rsid w:val="468837DB"/>
    <w:rsid w:val="469C7200"/>
    <w:rsid w:val="46AB11F1"/>
    <w:rsid w:val="46BB4B8F"/>
    <w:rsid w:val="46C67FCB"/>
    <w:rsid w:val="46CC22BF"/>
    <w:rsid w:val="46D23D1E"/>
    <w:rsid w:val="46DD5122"/>
    <w:rsid w:val="46FA14EA"/>
    <w:rsid w:val="46FA5E8A"/>
    <w:rsid w:val="47106844"/>
    <w:rsid w:val="47150D60"/>
    <w:rsid w:val="47181663"/>
    <w:rsid w:val="471C1A43"/>
    <w:rsid w:val="472A3A0B"/>
    <w:rsid w:val="4745607B"/>
    <w:rsid w:val="474F4B27"/>
    <w:rsid w:val="47592EBE"/>
    <w:rsid w:val="4774745E"/>
    <w:rsid w:val="478D27D8"/>
    <w:rsid w:val="47A81DC0"/>
    <w:rsid w:val="47C85937"/>
    <w:rsid w:val="47DB78B4"/>
    <w:rsid w:val="47DE2E52"/>
    <w:rsid w:val="47E813D6"/>
    <w:rsid w:val="48044A87"/>
    <w:rsid w:val="480D3219"/>
    <w:rsid w:val="482055CB"/>
    <w:rsid w:val="48474F49"/>
    <w:rsid w:val="485553D9"/>
    <w:rsid w:val="48576BF3"/>
    <w:rsid w:val="486D2897"/>
    <w:rsid w:val="486E3F5D"/>
    <w:rsid w:val="48731A43"/>
    <w:rsid w:val="48735D3E"/>
    <w:rsid w:val="48802209"/>
    <w:rsid w:val="48853CC3"/>
    <w:rsid w:val="489B04BF"/>
    <w:rsid w:val="48A543C1"/>
    <w:rsid w:val="48B41B3C"/>
    <w:rsid w:val="48D57037"/>
    <w:rsid w:val="48DC7D87"/>
    <w:rsid w:val="48DD4D65"/>
    <w:rsid w:val="48E115F1"/>
    <w:rsid w:val="48E301D5"/>
    <w:rsid w:val="48FD7CFE"/>
    <w:rsid w:val="49050EAA"/>
    <w:rsid w:val="491A5FD2"/>
    <w:rsid w:val="491E505F"/>
    <w:rsid w:val="4928696B"/>
    <w:rsid w:val="492C66A0"/>
    <w:rsid w:val="49810519"/>
    <w:rsid w:val="498209DE"/>
    <w:rsid w:val="49837613"/>
    <w:rsid w:val="49864072"/>
    <w:rsid w:val="498D78C0"/>
    <w:rsid w:val="49975D67"/>
    <w:rsid w:val="499935AB"/>
    <w:rsid w:val="49C16F7D"/>
    <w:rsid w:val="49C32CF5"/>
    <w:rsid w:val="49CC649E"/>
    <w:rsid w:val="49CE0DBE"/>
    <w:rsid w:val="49CF4F80"/>
    <w:rsid w:val="49D05858"/>
    <w:rsid w:val="49D669DE"/>
    <w:rsid w:val="49D96075"/>
    <w:rsid w:val="49DF3EE7"/>
    <w:rsid w:val="49E16112"/>
    <w:rsid w:val="49EA21AD"/>
    <w:rsid w:val="4A07378C"/>
    <w:rsid w:val="4A080708"/>
    <w:rsid w:val="4A1145DA"/>
    <w:rsid w:val="4A174DEF"/>
    <w:rsid w:val="4A227A1C"/>
    <w:rsid w:val="4A2326E8"/>
    <w:rsid w:val="4A2427D1"/>
    <w:rsid w:val="4A2D016F"/>
    <w:rsid w:val="4A5004CD"/>
    <w:rsid w:val="4A703364"/>
    <w:rsid w:val="4A782376"/>
    <w:rsid w:val="4A9D2A9C"/>
    <w:rsid w:val="4A9D52F4"/>
    <w:rsid w:val="4AA5064D"/>
    <w:rsid w:val="4AB404DF"/>
    <w:rsid w:val="4AB54808"/>
    <w:rsid w:val="4ACE6149"/>
    <w:rsid w:val="4AFF7947"/>
    <w:rsid w:val="4B187FAD"/>
    <w:rsid w:val="4B1C3F6F"/>
    <w:rsid w:val="4B232C1C"/>
    <w:rsid w:val="4B2C3999"/>
    <w:rsid w:val="4B4F2549"/>
    <w:rsid w:val="4B637BDF"/>
    <w:rsid w:val="4B922881"/>
    <w:rsid w:val="4BA51F6C"/>
    <w:rsid w:val="4BAE7004"/>
    <w:rsid w:val="4BC44B03"/>
    <w:rsid w:val="4BD57CCE"/>
    <w:rsid w:val="4BDE5BC4"/>
    <w:rsid w:val="4BE07B8E"/>
    <w:rsid w:val="4BF93A35"/>
    <w:rsid w:val="4C0E1F18"/>
    <w:rsid w:val="4C30648C"/>
    <w:rsid w:val="4C955907"/>
    <w:rsid w:val="4CAA3CF8"/>
    <w:rsid w:val="4CB56CAB"/>
    <w:rsid w:val="4CD96B24"/>
    <w:rsid w:val="4CE511D4"/>
    <w:rsid w:val="4CF839BA"/>
    <w:rsid w:val="4CF87218"/>
    <w:rsid w:val="4CFD207A"/>
    <w:rsid w:val="4D1070F4"/>
    <w:rsid w:val="4D250563"/>
    <w:rsid w:val="4D2A407E"/>
    <w:rsid w:val="4D4944A9"/>
    <w:rsid w:val="4D5B3D3E"/>
    <w:rsid w:val="4D64034B"/>
    <w:rsid w:val="4D6D692A"/>
    <w:rsid w:val="4D753683"/>
    <w:rsid w:val="4D86615E"/>
    <w:rsid w:val="4D8D2215"/>
    <w:rsid w:val="4DC4703C"/>
    <w:rsid w:val="4E151558"/>
    <w:rsid w:val="4E3E294A"/>
    <w:rsid w:val="4E3F3374"/>
    <w:rsid w:val="4E4378F3"/>
    <w:rsid w:val="4E476247"/>
    <w:rsid w:val="4E593C28"/>
    <w:rsid w:val="4E5B11E8"/>
    <w:rsid w:val="4E63655C"/>
    <w:rsid w:val="4E653973"/>
    <w:rsid w:val="4E8B0E35"/>
    <w:rsid w:val="4E992277"/>
    <w:rsid w:val="4E9D5F72"/>
    <w:rsid w:val="4EB726FD"/>
    <w:rsid w:val="4EC84822"/>
    <w:rsid w:val="4F182EAE"/>
    <w:rsid w:val="4F337286"/>
    <w:rsid w:val="4F530677"/>
    <w:rsid w:val="4F552D16"/>
    <w:rsid w:val="4F5E16E4"/>
    <w:rsid w:val="4F665ECF"/>
    <w:rsid w:val="4F7702AB"/>
    <w:rsid w:val="4F7E4217"/>
    <w:rsid w:val="4F844CD5"/>
    <w:rsid w:val="4F8B1FB1"/>
    <w:rsid w:val="4FB25807"/>
    <w:rsid w:val="4FBA6063"/>
    <w:rsid w:val="4FC11A85"/>
    <w:rsid w:val="4FC43323"/>
    <w:rsid w:val="4FC52EA9"/>
    <w:rsid w:val="4FC766BC"/>
    <w:rsid w:val="4FDD4519"/>
    <w:rsid w:val="4FE5562E"/>
    <w:rsid w:val="4FF36048"/>
    <w:rsid w:val="4FF57980"/>
    <w:rsid w:val="4FF77255"/>
    <w:rsid w:val="500D2CB7"/>
    <w:rsid w:val="50130B14"/>
    <w:rsid w:val="501C1D0D"/>
    <w:rsid w:val="50320D80"/>
    <w:rsid w:val="504A347D"/>
    <w:rsid w:val="50707007"/>
    <w:rsid w:val="50753490"/>
    <w:rsid w:val="507C59AC"/>
    <w:rsid w:val="508B3E41"/>
    <w:rsid w:val="50A332CE"/>
    <w:rsid w:val="50B138A7"/>
    <w:rsid w:val="50C85E91"/>
    <w:rsid w:val="50D12495"/>
    <w:rsid w:val="50DB6275"/>
    <w:rsid w:val="50E65546"/>
    <w:rsid w:val="50F6575E"/>
    <w:rsid w:val="511118C9"/>
    <w:rsid w:val="511327C8"/>
    <w:rsid w:val="512575A1"/>
    <w:rsid w:val="51364DF0"/>
    <w:rsid w:val="513719A2"/>
    <w:rsid w:val="51395DF0"/>
    <w:rsid w:val="5144679D"/>
    <w:rsid w:val="515E03EA"/>
    <w:rsid w:val="516923D4"/>
    <w:rsid w:val="516B614C"/>
    <w:rsid w:val="51816421"/>
    <w:rsid w:val="51917A57"/>
    <w:rsid w:val="51987AB4"/>
    <w:rsid w:val="519E3DB4"/>
    <w:rsid w:val="51A8056B"/>
    <w:rsid w:val="51EF0407"/>
    <w:rsid w:val="51F7178E"/>
    <w:rsid w:val="52115B3B"/>
    <w:rsid w:val="52140592"/>
    <w:rsid w:val="5228695C"/>
    <w:rsid w:val="523D1055"/>
    <w:rsid w:val="52434E4B"/>
    <w:rsid w:val="524B3888"/>
    <w:rsid w:val="526B0507"/>
    <w:rsid w:val="527032EE"/>
    <w:rsid w:val="527119C3"/>
    <w:rsid w:val="529010A5"/>
    <w:rsid w:val="52924294"/>
    <w:rsid w:val="52B44BA5"/>
    <w:rsid w:val="52C41624"/>
    <w:rsid w:val="52C6187C"/>
    <w:rsid w:val="52DD456F"/>
    <w:rsid w:val="530C3278"/>
    <w:rsid w:val="53146A66"/>
    <w:rsid w:val="5324020D"/>
    <w:rsid w:val="53245BCE"/>
    <w:rsid w:val="532A5B93"/>
    <w:rsid w:val="53372453"/>
    <w:rsid w:val="53384F50"/>
    <w:rsid w:val="53426A39"/>
    <w:rsid w:val="536416BB"/>
    <w:rsid w:val="53762B86"/>
    <w:rsid w:val="5380653A"/>
    <w:rsid w:val="539840E2"/>
    <w:rsid w:val="53CA640A"/>
    <w:rsid w:val="53DB3256"/>
    <w:rsid w:val="53DE0EAB"/>
    <w:rsid w:val="53E77E3D"/>
    <w:rsid w:val="53EB1F23"/>
    <w:rsid w:val="53ED1ABD"/>
    <w:rsid w:val="53F41569"/>
    <w:rsid w:val="53FA2FBE"/>
    <w:rsid w:val="540360D6"/>
    <w:rsid w:val="54036E8C"/>
    <w:rsid w:val="5406551D"/>
    <w:rsid w:val="540B0B1D"/>
    <w:rsid w:val="541170F2"/>
    <w:rsid w:val="543A1E06"/>
    <w:rsid w:val="54436F0C"/>
    <w:rsid w:val="54531D4B"/>
    <w:rsid w:val="5458228C"/>
    <w:rsid w:val="54613836"/>
    <w:rsid w:val="54777903"/>
    <w:rsid w:val="547F0901"/>
    <w:rsid w:val="548117E3"/>
    <w:rsid w:val="549D3156"/>
    <w:rsid w:val="54AA460D"/>
    <w:rsid w:val="54C86A4D"/>
    <w:rsid w:val="54E52E9B"/>
    <w:rsid w:val="54EB320B"/>
    <w:rsid w:val="55023CD3"/>
    <w:rsid w:val="55131F00"/>
    <w:rsid w:val="551C7F48"/>
    <w:rsid w:val="552B18DC"/>
    <w:rsid w:val="553920BD"/>
    <w:rsid w:val="55402148"/>
    <w:rsid w:val="557A5E8C"/>
    <w:rsid w:val="557B05CC"/>
    <w:rsid w:val="557B4B3C"/>
    <w:rsid w:val="558A48A8"/>
    <w:rsid w:val="559650BE"/>
    <w:rsid w:val="559C07D5"/>
    <w:rsid w:val="55A82ECA"/>
    <w:rsid w:val="55EB1FE4"/>
    <w:rsid w:val="55EC3DC8"/>
    <w:rsid w:val="55F637EA"/>
    <w:rsid w:val="56085601"/>
    <w:rsid w:val="56130B60"/>
    <w:rsid w:val="561F740D"/>
    <w:rsid w:val="56317D45"/>
    <w:rsid w:val="564F4E50"/>
    <w:rsid w:val="565C314C"/>
    <w:rsid w:val="56835CE6"/>
    <w:rsid w:val="569A23A4"/>
    <w:rsid w:val="569C58F9"/>
    <w:rsid w:val="56BB1E3B"/>
    <w:rsid w:val="56C2339A"/>
    <w:rsid w:val="56C360E3"/>
    <w:rsid w:val="56C808B8"/>
    <w:rsid w:val="56C836F9"/>
    <w:rsid w:val="56CF456E"/>
    <w:rsid w:val="56D608A0"/>
    <w:rsid w:val="56E5128F"/>
    <w:rsid w:val="571C7B48"/>
    <w:rsid w:val="5720409B"/>
    <w:rsid w:val="57295B58"/>
    <w:rsid w:val="572C4C11"/>
    <w:rsid w:val="574111A5"/>
    <w:rsid w:val="57570DBF"/>
    <w:rsid w:val="5765225C"/>
    <w:rsid w:val="576F3DE9"/>
    <w:rsid w:val="57721FB3"/>
    <w:rsid w:val="577B45DA"/>
    <w:rsid w:val="577D7035"/>
    <w:rsid w:val="579331A8"/>
    <w:rsid w:val="57C71012"/>
    <w:rsid w:val="57CA6BA5"/>
    <w:rsid w:val="57D84817"/>
    <w:rsid w:val="57DA7B21"/>
    <w:rsid w:val="57FE5C4E"/>
    <w:rsid w:val="580B5F93"/>
    <w:rsid w:val="580D31EA"/>
    <w:rsid w:val="580E5A83"/>
    <w:rsid w:val="582C1BF3"/>
    <w:rsid w:val="583A4FA5"/>
    <w:rsid w:val="583F16CE"/>
    <w:rsid w:val="585856CF"/>
    <w:rsid w:val="586A0583"/>
    <w:rsid w:val="586E6522"/>
    <w:rsid w:val="587B226B"/>
    <w:rsid w:val="589853F7"/>
    <w:rsid w:val="589C655A"/>
    <w:rsid w:val="58C754E3"/>
    <w:rsid w:val="58D66FD4"/>
    <w:rsid w:val="58DC348C"/>
    <w:rsid w:val="58F43B1C"/>
    <w:rsid w:val="58F973A7"/>
    <w:rsid w:val="591E77B0"/>
    <w:rsid w:val="59285535"/>
    <w:rsid w:val="593641EB"/>
    <w:rsid w:val="5945543A"/>
    <w:rsid w:val="59457AAF"/>
    <w:rsid w:val="594C71D3"/>
    <w:rsid w:val="594F0101"/>
    <w:rsid w:val="595925C2"/>
    <w:rsid w:val="59633BAD"/>
    <w:rsid w:val="598D6817"/>
    <w:rsid w:val="598F37F6"/>
    <w:rsid w:val="59A712CD"/>
    <w:rsid w:val="59BA483A"/>
    <w:rsid w:val="59EA1BD8"/>
    <w:rsid w:val="59FF6456"/>
    <w:rsid w:val="5A011489"/>
    <w:rsid w:val="5A2924CB"/>
    <w:rsid w:val="5A293A76"/>
    <w:rsid w:val="5A2C5B56"/>
    <w:rsid w:val="5A382944"/>
    <w:rsid w:val="5A3C3000"/>
    <w:rsid w:val="5A5F751A"/>
    <w:rsid w:val="5A697C7E"/>
    <w:rsid w:val="5A7F32B0"/>
    <w:rsid w:val="5A9164F8"/>
    <w:rsid w:val="5A931C3A"/>
    <w:rsid w:val="5A985E6E"/>
    <w:rsid w:val="5ABA0CC6"/>
    <w:rsid w:val="5ABA1101"/>
    <w:rsid w:val="5AE6535E"/>
    <w:rsid w:val="5AEF3FBA"/>
    <w:rsid w:val="5B202358"/>
    <w:rsid w:val="5B427437"/>
    <w:rsid w:val="5B644CFA"/>
    <w:rsid w:val="5B991F12"/>
    <w:rsid w:val="5B9A5D8F"/>
    <w:rsid w:val="5BAF585C"/>
    <w:rsid w:val="5BC00E43"/>
    <w:rsid w:val="5BCD3341"/>
    <w:rsid w:val="5BD13050"/>
    <w:rsid w:val="5BD3501A"/>
    <w:rsid w:val="5BD42FDB"/>
    <w:rsid w:val="5BFB631F"/>
    <w:rsid w:val="5BFC23A4"/>
    <w:rsid w:val="5C0147A6"/>
    <w:rsid w:val="5C0D1BAE"/>
    <w:rsid w:val="5C221103"/>
    <w:rsid w:val="5C2C741A"/>
    <w:rsid w:val="5C2E163D"/>
    <w:rsid w:val="5C350A65"/>
    <w:rsid w:val="5C473EE2"/>
    <w:rsid w:val="5C474011"/>
    <w:rsid w:val="5C6319D6"/>
    <w:rsid w:val="5C7E50EB"/>
    <w:rsid w:val="5C8307D5"/>
    <w:rsid w:val="5C941B5C"/>
    <w:rsid w:val="5C974A2C"/>
    <w:rsid w:val="5CA96851"/>
    <w:rsid w:val="5CAD62E8"/>
    <w:rsid w:val="5CBB1716"/>
    <w:rsid w:val="5CD50504"/>
    <w:rsid w:val="5CE901EC"/>
    <w:rsid w:val="5CF42188"/>
    <w:rsid w:val="5CFA32FA"/>
    <w:rsid w:val="5D0168F1"/>
    <w:rsid w:val="5D09097E"/>
    <w:rsid w:val="5D1642BC"/>
    <w:rsid w:val="5D2B7254"/>
    <w:rsid w:val="5D2D317D"/>
    <w:rsid w:val="5D30782F"/>
    <w:rsid w:val="5D3F66DF"/>
    <w:rsid w:val="5D4E5414"/>
    <w:rsid w:val="5D53631A"/>
    <w:rsid w:val="5D994D30"/>
    <w:rsid w:val="5DA14CA4"/>
    <w:rsid w:val="5DA574CE"/>
    <w:rsid w:val="5DA954A1"/>
    <w:rsid w:val="5DAE53B3"/>
    <w:rsid w:val="5DCA7D57"/>
    <w:rsid w:val="5DE227FB"/>
    <w:rsid w:val="5E20359E"/>
    <w:rsid w:val="5E32544C"/>
    <w:rsid w:val="5E3E0745"/>
    <w:rsid w:val="5E5C2C24"/>
    <w:rsid w:val="5E7E5EDD"/>
    <w:rsid w:val="5E8638BA"/>
    <w:rsid w:val="5E8F699E"/>
    <w:rsid w:val="5E997D90"/>
    <w:rsid w:val="5EA1145A"/>
    <w:rsid w:val="5EB122EF"/>
    <w:rsid w:val="5EBB7FE7"/>
    <w:rsid w:val="5EC35E1E"/>
    <w:rsid w:val="5ED83D63"/>
    <w:rsid w:val="5EE66E8C"/>
    <w:rsid w:val="5EF1079F"/>
    <w:rsid w:val="5EFF6126"/>
    <w:rsid w:val="5F06634A"/>
    <w:rsid w:val="5F0C3A50"/>
    <w:rsid w:val="5F2B0E65"/>
    <w:rsid w:val="5F2D344D"/>
    <w:rsid w:val="5F3A3DD8"/>
    <w:rsid w:val="5F4648A2"/>
    <w:rsid w:val="5F483703"/>
    <w:rsid w:val="5F4C65F3"/>
    <w:rsid w:val="5F6D4912"/>
    <w:rsid w:val="5F795C26"/>
    <w:rsid w:val="5F8352C4"/>
    <w:rsid w:val="5F8B79B9"/>
    <w:rsid w:val="5FA216EE"/>
    <w:rsid w:val="5FBC5A9D"/>
    <w:rsid w:val="5FD44353"/>
    <w:rsid w:val="5FE01C28"/>
    <w:rsid w:val="5FEA6813"/>
    <w:rsid w:val="5FF30C4E"/>
    <w:rsid w:val="5FF732A1"/>
    <w:rsid w:val="60032687"/>
    <w:rsid w:val="6003713C"/>
    <w:rsid w:val="6012619C"/>
    <w:rsid w:val="6016192C"/>
    <w:rsid w:val="603C0CB4"/>
    <w:rsid w:val="604C7E81"/>
    <w:rsid w:val="606F48C8"/>
    <w:rsid w:val="6071095D"/>
    <w:rsid w:val="60715356"/>
    <w:rsid w:val="607C160B"/>
    <w:rsid w:val="60843E3A"/>
    <w:rsid w:val="60A31E50"/>
    <w:rsid w:val="60AF76D8"/>
    <w:rsid w:val="60C00C1D"/>
    <w:rsid w:val="60CF73BF"/>
    <w:rsid w:val="60E02F7E"/>
    <w:rsid w:val="60E7015E"/>
    <w:rsid w:val="60ED7350"/>
    <w:rsid w:val="60FF240D"/>
    <w:rsid w:val="61072987"/>
    <w:rsid w:val="611539DF"/>
    <w:rsid w:val="61380B38"/>
    <w:rsid w:val="615F1CA2"/>
    <w:rsid w:val="615F3F12"/>
    <w:rsid w:val="6165555F"/>
    <w:rsid w:val="617D7488"/>
    <w:rsid w:val="617E0E8F"/>
    <w:rsid w:val="61945F34"/>
    <w:rsid w:val="6197035F"/>
    <w:rsid w:val="61BD30B0"/>
    <w:rsid w:val="62361E5F"/>
    <w:rsid w:val="623C624C"/>
    <w:rsid w:val="62555ED0"/>
    <w:rsid w:val="625D6F62"/>
    <w:rsid w:val="62830E1C"/>
    <w:rsid w:val="62B80F6C"/>
    <w:rsid w:val="62B86D17"/>
    <w:rsid w:val="62BF4691"/>
    <w:rsid w:val="62C35AB0"/>
    <w:rsid w:val="62C57399"/>
    <w:rsid w:val="62C746D1"/>
    <w:rsid w:val="62D2077E"/>
    <w:rsid w:val="62EF64B1"/>
    <w:rsid w:val="62F12A9E"/>
    <w:rsid w:val="62FD468C"/>
    <w:rsid w:val="6300421A"/>
    <w:rsid w:val="630C2148"/>
    <w:rsid w:val="63110A51"/>
    <w:rsid w:val="63116428"/>
    <w:rsid w:val="63122F99"/>
    <w:rsid w:val="63125818"/>
    <w:rsid w:val="631657EC"/>
    <w:rsid w:val="6329778D"/>
    <w:rsid w:val="63335D73"/>
    <w:rsid w:val="63384BE5"/>
    <w:rsid w:val="635C2EBF"/>
    <w:rsid w:val="636B3D8A"/>
    <w:rsid w:val="636D1C1D"/>
    <w:rsid w:val="636D6A05"/>
    <w:rsid w:val="6385653A"/>
    <w:rsid w:val="638B4C11"/>
    <w:rsid w:val="639F0276"/>
    <w:rsid w:val="63A46D28"/>
    <w:rsid w:val="63CD5993"/>
    <w:rsid w:val="63DA2CBD"/>
    <w:rsid w:val="63DD3A55"/>
    <w:rsid w:val="63DF774A"/>
    <w:rsid w:val="63FD6F73"/>
    <w:rsid w:val="640F4490"/>
    <w:rsid w:val="644255E8"/>
    <w:rsid w:val="644929A9"/>
    <w:rsid w:val="644A1BF1"/>
    <w:rsid w:val="645C23D8"/>
    <w:rsid w:val="6466674A"/>
    <w:rsid w:val="64697D5D"/>
    <w:rsid w:val="64750536"/>
    <w:rsid w:val="64790029"/>
    <w:rsid w:val="647C19B2"/>
    <w:rsid w:val="648C0BFA"/>
    <w:rsid w:val="64C50C84"/>
    <w:rsid w:val="64CC6AAA"/>
    <w:rsid w:val="64D63735"/>
    <w:rsid w:val="64DC4FA7"/>
    <w:rsid w:val="64E15309"/>
    <w:rsid w:val="64EE2EEC"/>
    <w:rsid w:val="64FD2D71"/>
    <w:rsid w:val="65201482"/>
    <w:rsid w:val="65242442"/>
    <w:rsid w:val="65292B1F"/>
    <w:rsid w:val="65323CE2"/>
    <w:rsid w:val="653D1710"/>
    <w:rsid w:val="653F63B1"/>
    <w:rsid w:val="65491BDA"/>
    <w:rsid w:val="65491EA9"/>
    <w:rsid w:val="654943D9"/>
    <w:rsid w:val="655F5334"/>
    <w:rsid w:val="65661FC4"/>
    <w:rsid w:val="65923E83"/>
    <w:rsid w:val="65C07C91"/>
    <w:rsid w:val="65D5793B"/>
    <w:rsid w:val="65DB4B65"/>
    <w:rsid w:val="65EC4F70"/>
    <w:rsid w:val="660202AA"/>
    <w:rsid w:val="66027D49"/>
    <w:rsid w:val="66190897"/>
    <w:rsid w:val="661B3092"/>
    <w:rsid w:val="66234210"/>
    <w:rsid w:val="663A742A"/>
    <w:rsid w:val="66455D2D"/>
    <w:rsid w:val="66605782"/>
    <w:rsid w:val="66761E42"/>
    <w:rsid w:val="668158E5"/>
    <w:rsid w:val="66822FE0"/>
    <w:rsid w:val="668428F4"/>
    <w:rsid w:val="66AF21DF"/>
    <w:rsid w:val="66B15B81"/>
    <w:rsid w:val="66BB1D25"/>
    <w:rsid w:val="66C149B2"/>
    <w:rsid w:val="66DD5CB5"/>
    <w:rsid w:val="66F67E0E"/>
    <w:rsid w:val="670126D4"/>
    <w:rsid w:val="67022C43"/>
    <w:rsid w:val="67066AD3"/>
    <w:rsid w:val="670E5A76"/>
    <w:rsid w:val="67135A8A"/>
    <w:rsid w:val="67145C03"/>
    <w:rsid w:val="671D5367"/>
    <w:rsid w:val="67224C2F"/>
    <w:rsid w:val="674526CD"/>
    <w:rsid w:val="67940325"/>
    <w:rsid w:val="679748F4"/>
    <w:rsid w:val="679839F0"/>
    <w:rsid w:val="67BC1EF5"/>
    <w:rsid w:val="67C65C81"/>
    <w:rsid w:val="67C66628"/>
    <w:rsid w:val="67E06721"/>
    <w:rsid w:val="67E85F82"/>
    <w:rsid w:val="68081645"/>
    <w:rsid w:val="680E7F53"/>
    <w:rsid w:val="68101041"/>
    <w:rsid w:val="68212A79"/>
    <w:rsid w:val="68212C69"/>
    <w:rsid w:val="682B1D3A"/>
    <w:rsid w:val="684048A0"/>
    <w:rsid w:val="684B23DC"/>
    <w:rsid w:val="688B27D8"/>
    <w:rsid w:val="6893205B"/>
    <w:rsid w:val="689879E6"/>
    <w:rsid w:val="68B10678"/>
    <w:rsid w:val="68C60AC8"/>
    <w:rsid w:val="68C90069"/>
    <w:rsid w:val="68DE426D"/>
    <w:rsid w:val="68ED5241"/>
    <w:rsid w:val="691F78D0"/>
    <w:rsid w:val="692769A5"/>
    <w:rsid w:val="69320EA6"/>
    <w:rsid w:val="696138B4"/>
    <w:rsid w:val="696574CD"/>
    <w:rsid w:val="69750989"/>
    <w:rsid w:val="69894AEC"/>
    <w:rsid w:val="69A25271"/>
    <w:rsid w:val="69C064B2"/>
    <w:rsid w:val="69E06935"/>
    <w:rsid w:val="69E35DC8"/>
    <w:rsid w:val="69ED75D4"/>
    <w:rsid w:val="69F10D61"/>
    <w:rsid w:val="69F426D4"/>
    <w:rsid w:val="6A464526"/>
    <w:rsid w:val="6A5D1F52"/>
    <w:rsid w:val="6A8029CA"/>
    <w:rsid w:val="6A92655B"/>
    <w:rsid w:val="6A9276AF"/>
    <w:rsid w:val="6AA06A0F"/>
    <w:rsid w:val="6AAC6B49"/>
    <w:rsid w:val="6AB940B9"/>
    <w:rsid w:val="6AC707C2"/>
    <w:rsid w:val="6AD72F36"/>
    <w:rsid w:val="6AEF3145"/>
    <w:rsid w:val="6AF64881"/>
    <w:rsid w:val="6B0D3978"/>
    <w:rsid w:val="6B2443CA"/>
    <w:rsid w:val="6B53216A"/>
    <w:rsid w:val="6B5C5DB3"/>
    <w:rsid w:val="6B6932A5"/>
    <w:rsid w:val="6B776F3A"/>
    <w:rsid w:val="6B7C3A99"/>
    <w:rsid w:val="6B8759A9"/>
    <w:rsid w:val="6B8B39C8"/>
    <w:rsid w:val="6B9B319A"/>
    <w:rsid w:val="6BA237A6"/>
    <w:rsid w:val="6BA739F6"/>
    <w:rsid w:val="6BBE0140"/>
    <w:rsid w:val="6BBE1C6B"/>
    <w:rsid w:val="6BC2294D"/>
    <w:rsid w:val="6BC44A10"/>
    <w:rsid w:val="6BC60B68"/>
    <w:rsid w:val="6BF852AA"/>
    <w:rsid w:val="6C137C7E"/>
    <w:rsid w:val="6C2F6015"/>
    <w:rsid w:val="6C474C68"/>
    <w:rsid w:val="6C5205A7"/>
    <w:rsid w:val="6C57134F"/>
    <w:rsid w:val="6C5F5197"/>
    <w:rsid w:val="6C77416A"/>
    <w:rsid w:val="6C92785F"/>
    <w:rsid w:val="6CAB169B"/>
    <w:rsid w:val="6CAE4CE7"/>
    <w:rsid w:val="6CB00A3E"/>
    <w:rsid w:val="6CB72F5D"/>
    <w:rsid w:val="6CC664D5"/>
    <w:rsid w:val="6CD42783"/>
    <w:rsid w:val="6CDD5F49"/>
    <w:rsid w:val="6CF303EA"/>
    <w:rsid w:val="6D050DAB"/>
    <w:rsid w:val="6D0936FF"/>
    <w:rsid w:val="6D0A53B2"/>
    <w:rsid w:val="6D286848"/>
    <w:rsid w:val="6D300C06"/>
    <w:rsid w:val="6D3E7AD7"/>
    <w:rsid w:val="6D4E647E"/>
    <w:rsid w:val="6D52783B"/>
    <w:rsid w:val="6D556083"/>
    <w:rsid w:val="6D593B1E"/>
    <w:rsid w:val="6D72554F"/>
    <w:rsid w:val="6D73394B"/>
    <w:rsid w:val="6D8B3374"/>
    <w:rsid w:val="6D9E5CD7"/>
    <w:rsid w:val="6DA439D5"/>
    <w:rsid w:val="6DAB366F"/>
    <w:rsid w:val="6DB07E55"/>
    <w:rsid w:val="6DBF3CAB"/>
    <w:rsid w:val="6DC26C9C"/>
    <w:rsid w:val="6DC555EE"/>
    <w:rsid w:val="6DDE3585"/>
    <w:rsid w:val="6DE05376"/>
    <w:rsid w:val="6DE52B8F"/>
    <w:rsid w:val="6DF21198"/>
    <w:rsid w:val="6DFA71A4"/>
    <w:rsid w:val="6E0252EB"/>
    <w:rsid w:val="6E1340F2"/>
    <w:rsid w:val="6E1D3ED3"/>
    <w:rsid w:val="6E2214E9"/>
    <w:rsid w:val="6E2B25F4"/>
    <w:rsid w:val="6E434BD5"/>
    <w:rsid w:val="6E5D4FB5"/>
    <w:rsid w:val="6E5E2470"/>
    <w:rsid w:val="6E625A93"/>
    <w:rsid w:val="6E6E2980"/>
    <w:rsid w:val="6E7B34BA"/>
    <w:rsid w:val="6E877F26"/>
    <w:rsid w:val="6E900B48"/>
    <w:rsid w:val="6E936484"/>
    <w:rsid w:val="6E9A4C81"/>
    <w:rsid w:val="6EB23DDC"/>
    <w:rsid w:val="6EBC13EB"/>
    <w:rsid w:val="6EC12329"/>
    <w:rsid w:val="6ED924EF"/>
    <w:rsid w:val="6EE2696A"/>
    <w:rsid w:val="6EF23736"/>
    <w:rsid w:val="6EFC1D3A"/>
    <w:rsid w:val="6F0B3358"/>
    <w:rsid w:val="6F140283"/>
    <w:rsid w:val="6F143527"/>
    <w:rsid w:val="6F1E3B46"/>
    <w:rsid w:val="6F421C03"/>
    <w:rsid w:val="6F430928"/>
    <w:rsid w:val="6F4802DD"/>
    <w:rsid w:val="6F4B3B22"/>
    <w:rsid w:val="6F507ED3"/>
    <w:rsid w:val="6F5854EE"/>
    <w:rsid w:val="6F5D678F"/>
    <w:rsid w:val="6F8175F1"/>
    <w:rsid w:val="6F8244B2"/>
    <w:rsid w:val="6F871F4B"/>
    <w:rsid w:val="6F88495E"/>
    <w:rsid w:val="6FA17418"/>
    <w:rsid w:val="6FB75C61"/>
    <w:rsid w:val="6FC97E45"/>
    <w:rsid w:val="6FCF0A6D"/>
    <w:rsid w:val="6FF27A3E"/>
    <w:rsid w:val="6FF9271D"/>
    <w:rsid w:val="6FFF2F39"/>
    <w:rsid w:val="7020414E"/>
    <w:rsid w:val="70261A46"/>
    <w:rsid w:val="70276CB8"/>
    <w:rsid w:val="70293003"/>
    <w:rsid w:val="7038433A"/>
    <w:rsid w:val="703F2826"/>
    <w:rsid w:val="704510B4"/>
    <w:rsid w:val="708E6851"/>
    <w:rsid w:val="70960578"/>
    <w:rsid w:val="709A0B83"/>
    <w:rsid w:val="709D3317"/>
    <w:rsid w:val="709F0F20"/>
    <w:rsid w:val="70BD6E5B"/>
    <w:rsid w:val="70DC1E23"/>
    <w:rsid w:val="7103708E"/>
    <w:rsid w:val="711E4DA3"/>
    <w:rsid w:val="71267175"/>
    <w:rsid w:val="71567E5C"/>
    <w:rsid w:val="7161182E"/>
    <w:rsid w:val="71696914"/>
    <w:rsid w:val="717D491C"/>
    <w:rsid w:val="718D5A3A"/>
    <w:rsid w:val="71993ECA"/>
    <w:rsid w:val="719F46D3"/>
    <w:rsid w:val="71C11019"/>
    <w:rsid w:val="71EB504D"/>
    <w:rsid w:val="71F11280"/>
    <w:rsid w:val="720535FB"/>
    <w:rsid w:val="720A672B"/>
    <w:rsid w:val="723A6589"/>
    <w:rsid w:val="723B0DCB"/>
    <w:rsid w:val="724063E2"/>
    <w:rsid w:val="724A3704"/>
    <w:rsid w:val="7250492A"/>
    <w:rsid w:val="72520567"/>
    <w:rsid w:val="727D38B8"/>
    <w:rsid w:val="7283546D"/>
    <w:rsid w:val="729A0223"/>
    <w:rsid w:val="72A476E5"/>
    <w:rsid w:val="72A526E9"/>
    <w:rsid w:val="72AE2BED"/>
    <w:rsid w:val="72B6623F"/>
    <w:rsid w:val="72D86604"/>
    <w:rsid w:val="72E15E16"/>
    <w:rsid w:val="72E34C74"/>
    <w:rsid w:val="72E651DB"/>
    <w:rsid w:val="7301377C"/>
    <w:rsid w:val="732E0063"/>
    <w:rsid w:val="73337CF4"/>
    <w:rsid w:val="73376074"/>
    <w:rsid w:val="735E3377"/>
    <w:rsid w:val="73780BB9"/>
    <w:rsid w:val="738563D5"/>
    <w:rsid w:val="738737F8"/>
    <w:rsid w:val="73966535"/>
    <w:rsid w:val="73C82A1C"/>
    <w:rsid w:val="73C84BB7"/>
    <w:rsid w:val="73D5644C"/>
    <w:rsid w:val="73D62848"/>
    <w:rsid w:val="73F45763"/>
    <w:rsid w:val="740632E2"/>
    <w:rsid w:val="7421539C"/>
    <w:rsid w:val="74225D1F"/>
    <w:rsid w:val="742306FB"/>
    <w:rsid w:val="743C74C0"/>
    <w:rsid w:val="74575DDB"/>
    <w:rsid w:val="749F1398"/>
    <w:rsid w:val="74A54C22"/>
    <w:rsid w:val="74B26EEB"/>
    <w:rsid w:val="74B45B10"/>
    <w:rsid w:val="74B542D0"/>
    <w:rsid w:val="74BE16EC"/>
    <w:rsid w:val="74BE48B9"/>
    <w:rsid w:val="74D177C5"/>
    <w:rsid w:val="74D5462D"/>
    <w:rsid w:val="74E26BB6"/>
    <w:rsid w:val="74F27AE8"/>
    <w:rsid w:val="750527F5"/>
    <w:rsid w:val="750A2CD7"/>
    <w:rsid w:val="750D1087"/>
    <w:rsid w:val="751853F4"/>
    <w:rsid w:val="7534497F"/>
    <w:rsid w:val="753A180E"/>
    <w:rsid w:val="753E2B4B"/>
    <w:rsid w:val="75545772"/>
    <w:rsid w:val="75614608"/>
    <w:rsid w:val="756E3AE9"/>
    <w:rsid w:val="75725E2D"/>
    <w:rsid w:val="759D7228"/>
    <w:rsid w:val="75B82733"/>
    <w:rsid w:val="75B94E29"/>
    <w:rsid w:val="75BF1D54"/>
    <w:rsid w:val="75DC5B77"/>
    <w:rsid w:val="75F45CBA"/>
    <w:rsid w:val="75FE5AD0"/>
    <w:rsid w:val="760A3A78"/>
    <w:rsid w:val="762B26D6"/>
    <w:rsid w:val="76397D18"/>
    <w:rsid w:val="7656047E"/>
    <w:rsid w:val="766829C8"/>
    <w:rsid w:val="767E4109"/>
    <w:rsid w:val="768F218D"/>
    <w:rsid w:val="76925198"/>
    <w:rsid w:val="769B3CAA"/>
    <w:rsid w:val="76A1393C"/>
    <w:rsid w:val="76B46F99"/>
    <w:rsid w:val="76BF007A"/>
    <w:rsid w:val="76BF2762"/>
    <w:rsid w:val="76C17881"/>
    <w:rsid w:val="76D812F2"/>
    <w:rsid w:val="76E77774"/>
    <w:rsid w:val="76EE6814"/>
    <w:rsid w:val="77005552"/>
    <w:rsid w:val="77060137"/>
    <w:rsid w:val="77106CCA"/>
    <w:rsid w:val="771C6773"/>
    <w:rsid w:val="77205ABA"/>
    <w:rsid w:val="77264CCF"/>
    <w:rsid w:val="7741346C"/>
    <w:rsid w:val="77540D73"/>
    <w:rsid w:val="77785CE2"/>
    <w:rsid w:val="77986EE5"/>
    <w:rsid w:val="77BC4BAA"/>
    <w:rsid w:val="77C47A90"/>
    <w:rsid w:val="77CA610F"/>
    <w:rsid w:val="77CD1D93"/>
    <w:rsid w:val="77CF3D3A"/>
    <w:rsid w:val="77D70F38"/>
    <w:rsid w:val="77EF2115"/>
    <w:rsid w:val="780543A3"/>
    <w:rsid w:val="781A45EA"/>
    <w:rsid w:val="78224195"/>
    <w:rsid w:val="78271676"/>
    <w:rsid w:val="782B7C7E"/>
    <w:rsid w:val="78444F7C"/>
    <w:rsid w:val="7847671C"/>
    <w:rsid w:val="784B42CB"/>
    <w:rsid w:val="78564BB1"/>
    <w:rsid w:val="786170B2"/>
    <w:rsid w:val="787E6170"/>
    <w:rsid w:val="78964FAD"/>
    <w:rsid w:val="78A91DF2"/>
    <w:rsid w:val="78C54F9D"/>
    <w:rsid w:val="78CC09CF"/>
    <w:rsid w:val="78E21FA1"/>
    <w:rsid w:val="78E34625"/>
    <w:rsid w:val="78F50067"/>
    <w:rsid w:val="7907039A"/>
    <w:rsid w:val="79110AD8"/>
    <w:rsid w:val="791365FE"/>
    <w:rsid w:val="79162162"/>
    <w:rsid w:val="791F05C4"/>
    <w:rsid w:val="79295F88"/>
    <w:rsid w:val="79394A97"/>
    <w:rsid w:val="79613E75"/>
    <w:rsid w:val="79775B88"/>
    <w:rsid w:val="797C0647"/>
    <w:rsid w:val="79822DFB"/>
    <w:rsid w:val="798C0911"/>
    <w:rsid w:val="799B65F3"/>
    <w:rsid w:val="79C04A9F"/>
    <w:rsid w:val="79C57453"/>
    <w:rsid w:val="79E24918"/>
    <w:rsid w:val="79EB1329"/>
    <w:rsid w:val="79EF7FD6"/>
    <w:rsid w:val="79FD2B56"/>
    <w:rsid w:val="79FE5144"/>
    <w:rsid w:val="7A034416"/>
    <w:rsid w:val="7A040B1D"/>
    <w:rsid w:val="7A150BC6"/>
    <w:rsid w:val="7A2B7977"/>
    <w:rsid w:val="7A2F7467"/>
    <w:rsid w:val="7A36452A"/>
    <w:rsid w:val="7A3E73EF"/>
    <w:rsid w:val="7A435682"/>
    <w:rsid w:val="7A5A200A"/>
    <w:rsid w:val="7A67218F"/>
    <w:rsid w:val="7A721A4A"/>
    <w:rsid w:val="7A755792"/>
    <w:rsid w:val="7A796935"/>
    <w:rsid w:val="7A844EFF"/>
    <w:rsid w:val="7A872B67"/>
    <w:rsid w:val="7A8A7005"/>
    <w:rsid w:val="7A997A49"/>
    <w:rsid w:val="7AB248FC"/>
    <w:rsid w:val="7ABB2A2C"/>
    <w:rsid w:val="7ABC7B85"/>
    <w:rsid w:val="7AD516A8"/>
    <w:rsid w:val="7AE80322"/>
    <w:rsid w:val="7AE92DA6"/>
    <w:rsid w:val="7B0070AD"/>
    <w:rsid w:val="7B0542C5"/>
    <w:rsid w:val="7B116355"/>
    <w:rsid w:val="7B1A2F7F"/>
    <w:rsid w:val="7B2037E2"/>
    <w:rsid w:val="7B234AF2"/>
    <w:rsid w:val="7B2D044F"/>
    <w:rsid w:val="7B4E7641"/>
    <w:rsid w:val="7B4F666E"/>
    <w:rsid w:val="7B555B44"/>
    <w:rsid w:val="7B6141A3"/>
    <w:rsid w:val="7B687CFA"/>
    <w:rsid w:val="7B6969A9"/>
    <w:rsid w:val="7B780AEF"/>
    <w:rsid w:val="7B85526B"/>
    <w:rsid w:val="7B8B6BBB"/>
    <w:rsid w:val="7B8C2698"/>
    <w:rsid w:val="7BB11189"/>
    <w:rsid w:val="7BCC7065"/>
    <w:rsid w:val="7BE44EA5"/>
    <w:rsid w:val="7C0B6B6A"/>
    <w:rsid w:val="7C174150"/>
    <w:rsid w:val="7C4116D4"/>
    <w:rsid w:val="7C512BAE"/>
    <w:rsid w:val="7C6F6C6B"/>
    <w:rsid w:val="7C707E84"/>
    <w:rsid w:val="7C7522AF"/>
    <w:rsid w:val="7C977546"/>
    <w:rsid w:val="7CA80C89"/>
    <w:rsid w:val="7CAA5D0E"/>
    <w:rsid w:val="7CB478B8"/>
    <w:rsid w:val="7CB85CD8"/>
    <w:rsid w:val="7CBE09D4"/>
    <w:rsid w:val="7CC3098F"/>
    <w:rsid w:val="7CD74D64"/>
    <w:rsid w:val="7CE85C1A"/>
    <w:rsid w:val="7CFE2CC5"/>
    <w:rsid w:val="7D1607D1"/>
    <w:rsid w:val="7D1B3461"/>
    <w:rsid w:val="7D3F7C32"/>
    <w:rsid w:val="7D711B45"/>
    <w:rsid w:val="7D92445C"/>
    <w:rsid w:val="7D9D1A58"/>
    <w:rsid w:val="7DA35B2D"/>
    <w:rsid w:val="7DAE3F99"/>
    <w:rsid w:val="7DB47C11"/>
    <w:rsid w:val="7DB95321"/>
    <w:rsid w:val="7DCD470D"/>
    <w:rsid w:val="7DD86E61"/>
    <w:rsid w:val="7DE079D1"/>
    <w:rsid w:val="7DE402B7"/>
    <w:rsid w:val="7DF22EE5"/>
    <w:rsid w:val="7DF909B9"/>
    <w:rsid w:val="7E0E62D0"/>
    <w:rsid w:val="7E0F77E1"/>
    <w:rsid w:val="7E197507"/>
    <w:rsid w:val="7E413C5F"/>
    <w:rsid w:val="7E5F709A"/>
    <w:rsid w:val="7E617E0B"/>
    <w:rsid w:val="7E623DAC"/>
    <w:rsid w:val="7E665BA8"/>
    <w:rsid w:val="7E6B0C8A"/>
    <w:rsid w:val="7E7222F3"/>
    <w:rsid w:val="7E7277C4"/>
    <w:rsid w:val="7E737F4B"/>
    <w:rsid w:val="7EA47719"/>
    <w:rsid w:val="7EA562B9"/>
    <w:rsid w:val="7EAE4D4B"/>
    <w:rsid w:val="7EC16AFC"/>
    <w:rsid w:val="7EC4097C"/>
    <w:rsid w:val="7EC65EC0"/>
    <w:rsid w:val="7EC77A56"/>
    <w:rsid w:val="7ECC4B8F"/>
    <w:rsid w:val="7EDE4280"/>
    <w:rsid w:val="7EDF07A2"/>
    <w:rsid w:val="7EF64FC9"/>
    <w:rsid w:val="7F0150A9"/>
    <w:rsid w:val="7F180397"/>
    <w:rsid w:val="7F1B40E5"/>
    <w:rsid w:val="7F3C3390"/>
    <w:rsid w:val="7F426C24"/>
    <w:rsid w:val="7F5577FD"/>
    <w:rsid w:val="7F991EA0"/>
    <w:rsid w:val="7F9B48EF"/>
    <w:rsid w:val="7FA5309E"/>
    <w:rsid w:val="7FB117AB"/>
    <w:rsid w:val="7FB11B69"/>
    <w:rsid w:val="7FB90D50"/>
    <w:rsid w:val="7FBF6F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unhideWhenUsed/>
    <w:qFormat/>
    <w:uiPriority w:val="0"/>
    <w:pPr>
      <w:spacing w:beforeAutospacing="1" w:afterAutospacing="1"/>
      <w:jc w:val="left"/>
      <w:outlineLvl w:val="1"/>
    </w:pPr>
    <w:rPr>
      <w:rFonts w:hint="eastAsia" w:ascii="宋体" w:hAnsi="宋体"/>
      <w:b/>
      <w:bCs/>
      <w:kern w:val="0"/>
      <w:sz w:val="36"/>
      <w:szCs w:val="36"/>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Cs w:val="22"/>
    </w:rPr>
  </w:style>
  <w:style w:type="paragraph" w:styleId="5">
    <w:name w:val="endnote text"/>
    <w:basedOn w:val="1"/>
    <w:qFormat/>
    <w:uiPriority w:val="0"/>
    <w:pPr>
      <w:snapToGrid w:val="0"/>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footnote text"/>
    <w:unhideWhenUsed/>
    <w:qFormat/>
    <w:uiPriority w:val="99"/>
    <w:pPr>
      <w:widowControl w:val="0"/>
      <w:snapToGrid w:val="0"/>
    </w:pPr>
    <w:rPr>
      <w:rFonts w:ascii="Calibri" w:hAnsi="Calibri" w:eastAsia="宋体" w:cs="Times New Roman"/>
      <w:kern w:val="2"/>
      <w:sz w:val="18"/>
      <w:szCs w:val="18"/>
      <w:lang w:val="en-US" w:eastAsia="zh-CN" w:bidi="ar-SA"/>
    </w:rPr>
  </w:style>
  <w:style w:type="paragraph" w:styleId="9">
    <w:name w:val="Normal (Web)"/>
    <w:basedOn w:val="1"/>
    <w:qFormat/>
    <w:uiPriority w:val="0"/>
    <w:pPr>
      <w:spacing w:beforeAutospacing="1" w:afterAutospacing="1"/>
      <w:jc w:val="left"/>
    </w:pPr>
    <w:rPr>
      <w:kern w:val="0"/>
      <w:sz w:val="24"/>
    </w:rPr>
  </w:style>
  <w:style w:type="character" w:styleId="12">
    <w:name w:val="Strong"/>
    <w:basedOn w:val="11"/>
    <w:qFormat/>
    <w:uiPriority w:val="0"/>
    <w:rPr>
      <w:b/>
      <w:bCs/>
    </w:rPr>
  </w:style>
  <w:style w:type="character" w:styleId="13">
    <w:name w:val="endnote reference"/>
    <w:basedOn w:val="11"/>
    <w:qFormat/>
    <w:uiPriority w:val="0"/>
    <w:rPr>
      <w:vertAlign w:val="superscript"/>
    </w:rPr>
  </w:style>
  <w:style w:type="character" w:styleId="14">
    <w:name w:val="FollowedHyperlink"/>
    <w:basedOn w:val="11"/>
    <w:qFormat/>
    <w:uiPriority w:val="0"/>
    <w:rPr>
      <w:color w:val="000000"/>
      <w:u w:val="none"/>
    </w:rPr>
  </w:style>
  <w:style w:type="character" w:styleId="15">
    <w:name w:val="Emphasis"/>
    <w:basedOn w:val="11"/>
    <w:qFormat/>
    <w:uiPriority w:val="0"/>
  </w:style>
  <w:style w:type="character" w:styleId="16">
    <w:name w:val="Hyperlink"/>
    <w:basedOn w:val="11"/>
    <w:qFormat/>
    <w:uiPriority w:val="0"/>
    <w:rPr>
      <w:color w:val="000000"/>
      <w:u w:val="none"/>
    </w:rPr>
  </w:style>
  <w:style w:type="character" w:customStyle="1" w:styleId="17">
    <w:name w:val="time"/>
    <w:basedOn w:val="11"/>
    <w:qFormat/>
    <w:uiPriority w:val="0"/>
  </w:style>
  <w:style w:type="character" w:customStyle="1" w:styleId="18">
    <w:name w:val="gl_news_sz"/>
    <w:basedOn w:val="11"/>
    <w:qFormat/>
    <w:uiPriority w:val="0"/>
    <w:rPr>
      <w:color w:val="FFFFFF"/>
      <w:shd w:val="clear" w:color="auto" w:fill="A32A2A"/>
    </w:rPr>
  </w:style>
  <w:style w:type="character" w:customStyle="1" w:styleId="19">
    <w:name w:val="icon014"/>
    <w:basedOn w:val="11"/>
    <w:qFormat/>
    <w:uiPriority w:val="0"/>
    <w:rPr>
      <w:sz w:val="18"/>
      <w:szCs w:val="18"/>
    </w:rPr>
  </w:style>
  <w:style w:type="character" w:customStyle="1" w:styleId="20">
    <w:name w:val="sjx"/>
    <w:basedOn w:val="11"/>
    <w:qFormat/>
    <w:uiPriority w:val="0"/>
  </w:style>
  <w:style w:type="character" w:customStyle="1" w:styleId="21">
    <w:name w:val="icon024"/>
    <w:basedOn w:val="11"/>
    <w:qFormat/>
    <w:uiPriority w:val="0"/>
    <w:rPr>
      <w:sz w:val="18"/>
      <w:szCs w:val="18"/>
    </w:rPr>
  </w:style>
  <w:style w:type="character" w:customStyle="1" w:styleId="22">
    <w:name w:val="icon021"/>
    <w:basedOn w:val="11"/>
    <w:qFormat/>
    <w:uiPriority w:val="0"/>
    <w:rPr>
      <w:sz w:val="18"/>
      <w:szCs w:val="18"/>
    </w:rPr>
  </w:style>
  <w:style w:type="character" w:customStyle="1" w:styleId="23">
    <w:name w:val="zw_y_list_b"/>
    <w:basedOn w:val="11"/>
    <w:qFormat/>
    <w:uiPriority w:val="0"/>
    <w:rPr>
      <w:color w:val="3BAAEC"/>
    </w:rPr>
  </w:style>
  <w:style w:type="character" w:customStyle="1" w:styleId="24">
    <w:name w:val="u_page"/>
    <w:basedOn w:val="11"/>
    <w:qFormat/>
    <w:uiPriority w:val="0"/>
  </w:style>
  <w:style w:type="character" w:customStyle="1" w:styleId="25">
    <w:name w:val="zwxxgk_bnt5"/>
    <w:basedOn w:val="11"/>
    <w:qFormat/>
    <w:uiPriority w:val="0"/>
  </w:style>
  <w:style w:type="character" w:customStyle="1" w:styleId="26">
    <w:name w:val="zwxxgk_bnt51"/>
    <w:basedOn w:val="11"/>
    <w:qFormat/>
    <w:uiPriority w:val="0"/>
  </w:style>
  <w:style w:type="character" w:customStyle="1" w:styleId="27">
    <w:name w:val="zwxxgk_bnt52"/>
    <w:basedOn w:val="11"/>
    <w:qFormat/>
    <w:uiPriority w:val="0"/>
  </w:style>
  <w:style w:type="character" w:customStyle="1" w:styleId="28">
    <w:name w:val="zwxxgk_bnt6"/>
    <w:basedOn w:val="11"/>
    <w:qFormat/>
    <w:uiPriority w:val="0"/>
  </w:style>
  <w:style w:type="character" w:customStyle="1" w:styleId="29">
    <w:name w:val="zwxxgk_bnt61"/>
    <w:basedOn w:val="11"/>
    <w:qFormat/>
    <w:uiPriority w:val="0"/>
  </w:style>
  <w:style w:type="character" w:customStyle="1" w:styleId="30">
    <w:name w:val="zwxxgk_bnt62"/>
    <w:basedOn w:val="11"/>
    <w:qFormat/>
    <w:uiPriority w:val="0"/>
  </w:style>
  <w:style w:type="character" w:customStyle="1" w:styleId="31">
    <w:name w:val="layui-laypage-curr"/>
    <w:basedOn w:val="11"/>
    <w:qFormat/>
    <w:uiPriority w:val="0"/>
  </w:style>
  <w:style w:type="character" w:customStyle="1" w:styleId="32">
    <w:name w:val="hover34"/>
    <w:basedOn w:val="11"/>
    <w:qFormat/>
    <w:uiPriority w:val="0"/>
    <w:rPr>
      <w:color w:val="5FB878"/>
    </w:rPr>
  </w:style>
  <w:style w:type="character" w:customStyle="1" w:styleId="33">
    <w:name w:val="hover35"/>
    <w:basedOn w:val="11"/>
    <w:qFormat/>
    <w:uiPriority w:val="0"/>
    <w:rPr>
      <w:color w:val="5FB878"/>
    </w:rPr>
  </w:style>
  <w:style w:type="character" w:customStyle="1" w:styleId="34">
    <w:name w:val="hover36"/>
    <w:basedOn w:val="11"/>
    <w:qFormat/>
    <w:uiPriority w:val="0"/>
    <w:rPr>
      <w:color w:val="FFFFFF"/>
    </w:rPr>
  </w:style>
  <w:style w:type="character" w:customStyle="1" w:styleId="35">
    <w:name w:val="first-child"/>
    <w:basedOn w:val="11"/>
    <w:qFormat/>
    <w:uiPriority w:val="0"/>
  </w:style>
  <w:style w:type="character" w:customStyle="1" w:styleId="36">
    <w:name w:val="layui-this3"/>
    <w:basedOn w:val="11"/>
    <w:qFormat/>
    <w:uiPriority w:val="0"/>
    <w:rPr>
      <w:bdr w:val="single" w:color="EEEEEE" w:sz="6" w:space="0"/>
      <w:shd w:val="clear" w:color="auto" w:fill="FFFFFF"/>
    </w:rPr>
  </w:style>
  <w:style w:type="character" w:customStyle="1" w:styleId="37">
    <w:name w:val="time4"/>
    <w:basedOn w:val="11"/>
    <w:qFormat/>
    <w:uiPriority w:val="0"/>
    <w:rPr>
      <w:color w:val="999999"/>
    </w:rPr>
  </w:style>
  <w:style w:type="character" w:customStyle="1" w:styleId="38">
    <w:name w:val="logo_qiche"/>
    <w:basedOn w:val="11"/>
    <w:qFormat/>
    <w:uiPriority w:val="0"/>
  </w:style>
  <w:style w:type="character" w:customStyle="1" w:styleId="39">
    <w:name w:val="logo_shenghuo"/>
    <w:basedOn w:val="11"/>
    <w:qFormat/>
    <w:uiPriority w:val="0"/>
  </w:style>
  <w:style w:type="character" w:customStyle="1" w:styleId="40">
    <w:name w:val="logo_dalian"/>
    <w:basedOn w:val="11"/>
    <w:qFormat/>
    <w:uiPriority w:val="0"/>
  </w:style>
  <w:style w:type="character" w:customStyle="1" w:styleId="41">
    <w:name w:val="logo_caijing"/>
    <w:basedOn w:val="11"/>
    <w:qFormat/>
    <w:uiPriority w:val="0"/>
  </w:style>
  <w:style w:type="character" w:customStyle="1" w:styleId="42">
    <w:name w:val="logo_xinwen"/>
    <w:basedOn w:val="11"/>
    <w:qFormat/>
    <w:uiPriority w:val="0"/>
  </w:style>
  <w:style w:type="character" w:customStyle="1" w:styleId="43">
    <w:name w:val="logo_jiankang"/>
    <w:basedOn w:val="11"/>
    <w:qFormat/>
    <w:uiPriority w:val="0"/>
  </w:style>
  <w:style w:type="character" w:customStyle="1" w:styleId="44">
    <w:name w:val="logo_cishan"/>
    <w:basedOn w:val="11"/>
    <w:qFormat/>
    <w:uiPriority w:val="0"/>
  </w:style>
  <w:style w:type="character" w:customStyle="1" w:styleId="45">
    <w:name w:val="logo_fangchan"/>
    <w:basedOn w:val="11"/>
    <w:qFormat/>
    <w:uiPriority w:val="0"/>
  </w:style>
  <w:style w:type="character" w:customStyle="1" w:styleId="46">
    <w:name w:val="logo_lvyou"/>
    <w:basedOn w:val="11"/>
    <w:qFormat/>
    <w:uiPriority w:val="0"/>
  </w:style>
  <w:style w:type="character" w:customStyle="1" w:styleId="47">
    <w:name w:val="logo_wenyu"/>
    <w:basedOn w:val="11"/>
    <w:qFormat/>
    <w:uiPriority w:val="0"/>
  </w:style>
  <w:style w:type="character" w:customStyle="1" w:styleId="48">
    <w:name w:val="logo_yuanchuang"/>
    <w:basedOn w:val="11"/>
    <w:qFormat/>
    <w:uiPriority w:val="0"/>
  </w:style>
  <w:style w:type="character" w:customStyle="1" w:styleId="49">
    <w:name w:val="logo_zhuanti"/>
    <w:basedOn w:val="11"/>
    <w:qFormat/>
    <w:uiPriority w:val="0"/>
  </w:style>
  <w:style w:type="character" w:customStyle="1" w:styleId="50">
    <w:name w:val="logo_shuma"/>
    <w:basedOn w:val="11"/>
    <w:qFormat/>
    <w:uiPriority w:val="0"/>
  </w:style>
  <w:style w:type="character" w:customStyle="1" w:styleId="51">
    <w:name w:val="logo_shiping"/>
    <w:basedOn w:val="11"/>
    <w:qFormat/>
    <w:uiPriority w:val="0"/>
  </w:style>
  <w:style w:type="character" w:customStyle="1" w:styleId="52">
    <w:name w:val="bsharetext"/>
    <w:basedOn w:val="11"/>
    <w:qFormat/>
    <w:uiPriority w:val="0"/>
  </w:style>
  <w:style w:type="character" w:customStyle="1" w:styleId="53">
    <w:name w:val="NormalCharacter"/>
    <w:semiHidden/>
    <w:qFormat/>
    <w:uiPriority w:val="0"/>
  </w:style>
  <w:style w:type="paragraph" w:customStyle="1" w:styleId="54">
    <w:name w:val=" Char Char Char Char Char Char Char"/>
    <w:basedOn w:val="1"/>
    <w:qFormat/>
    <w:uiPriority w:val="0"/>
    <w:rPr>
      <w:rFonts w:ascii="Times New Roman" w:hAnsi="Times New Roman" w:eastAsia="仿宋_GB231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2682</Words>
  <Characters>15293</Characters>
  <Lines>127</Lines>
  <Paragraphs>35</Paragraphs>
  <TotalTime>4</TotalTime>
  <ScaleCrop>false</ScaleCrop>
  <LinksUpToDate>false</LinksUpToDate>
  <CharactersWithSpaces>17940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2021-12-23T12:05:00Z</dcterms:created>
  <dc:creator>子博</dc:creator>
  <cp:lastModifiedBy>子博</cp:lastModifiedBy>
  <cp:lastPrinted>2021-12-21T09:14:00Z</cp:lastPrinted>
  <dcterms:modified xsi:type="dcterms:W3CDTF">2022-01-28T08:55:16Z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AF010297C6C341D8AA9C6E6FFD9C2FC4</vt:lpwstr>
  </property>
</Properties>
</file>