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tLeast"/>
        <w:jc w:val="center"/>
        <w:textAlignment w:val="baseline"/>
        <w:rPr>
          <w:rStyle w:val="7"/>
          <w:rFonts w:ascii="方正小标宋简体" w:hAnsi="黑体" w:eastAsia="方正小标宋简体"/>
          <w:b w:val="0"/>
          <w:i w:val="0"/>
          <w:caps w:val="0"/>
          <w:spacing w:val="0"/>
          <w:w w:val="100"/>
          <w:kern w:val="2"/>
          <w:sz w:val="44"/>
          <w:szCs w:val="44"/>
          <w:lang w:val="en-US" w:eastAsia="zh-CN" w:bidi="ar-SA"/>
        </w:rPr>
      </w:pPr>
      <w:r>
        <w:rPr>
          <w:rStyle w:val="7"/>
          <w:rFonts w:ascii="黑体" w:hAnsi="黑体" w:eastAsia="黑体"/>
          <w:b w:val="0"/>
          <w:i w:val="0"/>
          <w:caps w:val="0"/>
          <w:spacing w:val="0"/>
          <w:w w:val="100"/>
          <w:kern w:val="2"/>
          <w:sz w:val="44"/>
          <w:szCs w:val="44"/>
          <w:lang w:val="en-US" w:eastAsia="zh-CN" w:bidi="ar-SA"/>
        </w:rPr>
        <w:t>庄河市疾病预防控制中心2021</w:t>
      </w:r>
      <w:r>
        <w:rPr>
          <w:rStyle w:val="7"/>
          <w:rFonts w:ascii="方正小标宋简体" w:hAnsi="黑体" w:eastAsia="方正小标宋简体"/>
          <w:b w:val="0"/>
          <w:i w:val="0"/>
          <w:caps w:val="0"/>
          <w:spacing w:val="0"/>
          <w:w w:val="100"/>
          <w:kern w:val="2"/>
          <w:sz w:val="44"/>
          <w:szCs w:val="44"/>
          <w:lang w:val="en-US" w:eastAsia="zh-CN" w:bidi="ar-SA"/>
        </w:rPr>
        <w:t>年度单位预算</w:t>
      </w:r>
    </w:p>
    <w:p>
      <w:pPr>
        <w:snapToGrid/>
        <w:spacing w:before="0" w:beforeAutospacing="0" w:after="0" w:afterAutospacing="0" w:line="240" w:lineRule="atLeast"/>
        <w:jc w:val="center"/>
        <w:textAlignment w:val="baseline"/>
        <w:rPr>
          <w:rStyle w:val="7"/>
          <w:rFonts w:ascii="仿宋_GB2312" w:eastAsia="仿宋_GB2312"/>
          <w:b w:val="0"/>
          <w:i w:val="0"/>
          <w:caps w:val="0"/>
          <w:spacing w:val="0"/>
          <w:w w:val="100"/>
          <w:kern w:val="2"/>
          <w:sz w:val="32"/>
          <w:szCs w:val="32"/>
          <w:lang w:val="en-US" w:eastAsia="zh-CN" w:bidi="ar-SA"/>
        </w:rPr>
      </w:pPr>
    </w:p>
    <w:p>
      <w:pPr>
        <w:snapToGrid/>
        <w:spacing w:before="0" w:beforeAutospacing="0" w:after="0" w:afterAutospacing="0" w:line="240" w:lineRule="atLeast"/>
        <w:jc w:val="center"/>
        <w:textAlignment w:val="baseline"/>
        <w:rPr>
          <w:rStyle w:val="7"/>
          <w:rFonts w:ascii="方正小标宋简体" w:hAnsi="黑体" w:eastAsia="方正小标宋简体"/>
          <w:b/>
          <w:i w:val="0"/>
          <w:caps w:val="0"/>
          <w:spacing w:val="0"/>
          <w:w w:val="100"/>
          <w:kern w:val="2"/>
          <w:sz w:val="32"/>
          <w:szCs w:val="32"/>
          <w:lang w:val="en-US" w:eastAsia="zh-CN" w:bidi="ar-SA"/>
        </w:rPr>
      </w:pPr>
      <w:r>
        <w:rPr>
          <w:rStyle w:val="7"/>
          <w:rFonts w:ascii="仿宋_GB2312" w:eastAsia="仿宋_GB2312"/>
          <w:b/>
          <w:i w:val="0"/>
          <w:caps w:val="0"/>
          <w:spacing w:val="0"/>
          <w:w w:val="100"/>
          <w:kern w:val="2"/>
          <w:sz w:val="32"/>
          <w:szCs w:val="32"/>
          <w:lang w:val="en-US" w:eastAsia="zh-CN" w:bidi="ar-SA"/>
        </w:rPr>
        <w:t>目录</w:t>
      </w:r>
    </w:p>
    <w:p>
      <w:pPr>
        <w:snapToGrid w:val="0"/>
        <w:spacing w:before="0" w:beforeAutospacing="0" w:after="0" w:afterAutospacing="0" w:line="240" w:lineRule="atLeast"/>
        <w:jc w:val="both"/>
        <w:textAlignment w:val="baseline"/>
        <w:rPr>
          <w:rStyle w:val="7"/>
          <w:rFonts w:ascii="黑体" w:hAnsi="黑体" w:eastAsia="黑体"/>
          <w:b w:val="0"/>
          <w:i w:val="0"/>
          <w:caps w:val="0"/>
          <w:spacing w:val="0"/>
          <w:w w:val="100"/>
          <w:kern w:val="2"/>
          <w:sz w:val="32"/>
          <w:szCs w:val="32"/>
          <w:lang w:val="en-US" w:eastAsia="zh-CN" w:bidi="ar-SA"/>
        </w:rPr>
      </w:pPr>
    </w:p>
    <w:p>
      <w:pPr>
        <w:snapToGrid w:val="0"/>
        <w:spacing w:before="0" w:beforeAutospacing="0" w:after="0" w:afterAutospacing="0" w:line="240" w:lineRule="atLeast"/>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 xml:space="preserve">第一部分  </w:t>
      </w:r>
      <w:r>
        <w:rPr>
          <w:rStyle w:val="7"/>
          <w:rFonts w:ascii="Times New Roman" w:hAnsi="Times New Roman" w:eastAsia="宋体"/>
          <w:b w:val="0"/>
          <w:i w:val="0"/>
          <w:caps w:val="0"/>
          <w:spacing w:val="0"/>
          <w:w w:val="100"/>
          <w:kern w:val="2"/>
          <w:sz w:val="32"/>
          <w:szCs w:val="32"/>
          <w:lang w:val="en-US" w:eastAsia="zh-CN" w:bidi="ar-SA"/>
        </w:rPr>
        <w:t xml:space="preserve"> </w:t>
      </w:r>
      <w:r>
        <w:rPr>
          <w:rStyle w:val="7"/>
          <w:rFonts w:ascii="黑体" w:hAnsi="黑体" w:eastAsia="黑体"/>
          <w:b w:val="0"/>
          <w:i w:val="0"/>
          <w:caps w:val="0"/>
          <w:spacing w:val="0"/>
          <w:w w:val="100"/>
          <w:kern w:val="2"/>
          <w:sz w:val="32"/>
          <w:szCs w:val="32"/>
          <w:lang w:val="en-US" w:eastAsia="zh-CN" w:bidi="ar-SA"/>
        </w:rPr>
        <w:t>庄河市疾病预防控制中心概况</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一、主要职责</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二、机构设置</w:t>
      </w:r>
    </w:p>
    <w:p>
      <w:pPr>
        <w:snapToGrid w:val="0"/>
        <w:spacing w:before="0" w:beforeAutospacing="0" w:after="0" w:afterAutospacing="0" w:line="240" w:lineRule="atLeast"/>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第二部分  庄河市疾病预防控制中心2021年单位预算表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一、收支预算总表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二、收入预算总表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三、支出预算总表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四、支出功能分类预算表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五、支出经济分类预算表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六、财政拨款预算总表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七、一般公共预算支出表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八、一般公共预算基本支出表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九、一般公共预算“三公”经费支出预算表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十、政府性基金预算支出表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十一、国有资本经营预算支出表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十二、项目支出表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十三、政府采购预算表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十四、政府购买服务预算表</w:t>
      </w:r>
    </w:p>
    <w:p>
      <w:pPr>
        <w:snapToGrid w:val="0"/>
        <w:spacing w:before="0" w:beforeAutospacing="0" w:after="0" w:afterAutospacing="0" w:line="240" w:lineRule="atLeast"/>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 xml:space="preserve">第三部分  </w:t>
      </w:r>
      <w:r>
        <w:rPr>
          <w:rStyle w:val="7"/>
          <w:rFonts w:ascii="Times New Roman" w:hAnsi="Times New Roman" w:eastAsia="宋体"/>
          <w:b w:val="0"/>
          <w:i w:val="0"/>
          <w:caps w:val="0"/>
          <w:spacing w:val="0"/>
          <w:w w:val="100"/>
          <w:kern w:val="2"/>
          <w:sz w:val="32"/>
          <w:szCs w:val="32"/>
          <w:lang w:val="en-US" w:eastAsia="zh-CN" w:bidi="ar-SA"/>
        </w:rPr>
        <w:t>庄河市疾病预防控制中心2021</w:t>
      </w:r>
      <w:r>
        <w:rPr>
          <w:rStyle w:val="7"/>
          <w:rFonts w:ascii="黑体" w:hAnsi="黑体" w:eastAsia="黑体"/>
          <w:b w:val="0"/>
          <w:i w:val="0"/>
          <w:caps w:val="0"/>
          <w:spacing w:val="0"/>
          <w:w w:val="100"/>
          <w:kern w:val="2"/>
          <w:sz w:val="32"/>
          <w:szCs w:val="32"/>
          <w:lang w:val="en-US" w:eastAsia="zh-CN" w:bidi="ar-SA"/>
        </w:rPr>
        <w:t>年单位预算情况说明</w:t>
      </w:r>
    </w:p>
    <w:p>
      <w:pPr>
        <w:snapToGrid w:val="0"/>
        <w:spacing w:before="0" w:beforeAutospacing="0" w:after="0" w:afterAutospacing="0" w:line="240" w:lineRule="atLeast"/>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第四部分   名词解释</w:t>
      </w:r>
    </w:p>
    <w:p>
      <w:pPr>
        <w:snapToGrid/>
        <w:spacing w:before="0" w:beforeAutospacing="0" w:after="0" w:afterAutospacing="0" w:line="240" w:lineRule="auto"/>
        <w:jc w:val="both"/>
        <w:textAlignment w:val="baseline"/>
        <w:rPr>
          <w:rStyle w:val="7"/>
          <w:rFonts w:ascii="仿宋_GB2312" w:eastAsia="仿宋_GB2312"/>
          <w:b w:val="0"/>
          <w:i w:val="0"/>
          <w:caps w:val="0"/>
          <w:spacing w:val="0"/>
          <w:w w:val="100"/>
          <w:kern w:val="2"/>
          <w:sz w:val="32"/>
          <w:szCs w:val="32"/>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 xml:space="preserve">第一部分  </w:t>
      </w: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庄河市疾病预防控制中心概况</w:t>
      </w:r>
    </w:p>
    <w:p>
      <w:pPr>
        <w:snapToGrid w:val="0"/>
        <w:spacing w:before="0" w:beforeAutospacing="0" w:after="0" w:afterAutospacing="0" w:line="240" w:lineRule="atLeast"/>
        <w:ind w:firstLine="640" w:firstLineChars="200"/>
        <w:jc w:val="both"/>
        <w:textAlignment w:val="baseline"/>
        <w:rPr>
          <w:rStyle w:val="7"/>
          <w:rFonts w:ascii="仿宋_GB2312" w:eastAsia="仿宋_GB2312"/>
          <w:b w:val="0"/>
          <w:i w:val="0"/>
          <w:caps w:val="0"/>
          <w:spacing w:val="0"/>
          <w:w w:val="100"/>
          <w:kern w:val="2"/>
          <w:sz w:val="32"/>
          <w:szCs w:val="32"/>
          <w:lang w:val="en-US" w:eastAsia="zh-CN" w:bidi="ar-SA"/>
        </w:rPr>
      </w:pPr>
    </w:p>
    <w:p>
      <w:pPr>
        <w:snapToGrid w:val="0"/>
        <w:spacing w:before="0" w:beforeAutospacing="0" w:after="0" w:afterAutospacing="0" w:line="240" w:lineRule="atLeast"/>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一、主要职责</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（一）承担传染病、寄生虫病、地方病、慢性非传染性疾病等预防与控制。</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（二）承担突发公共卫生事件和灾害疫情应急处置。</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（三）承担疫情及健康相关因素信息管理，开展疾病监测，收集、报告、分析和评价疾病与健康危害因素等公共卫生信息。</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（四）开展健康危害因素监测与干预；开展食源性、职业性、环境性等疾病的监测评价和流行病学调查；开展公众健康和营养状况监测与评价，提出干预策略与措施；负责免疫策略的实施工作。</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（五）开展疾病病原生物检测、鉴定和物理、化学因子检测、评价。</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（六）开展健康教育与健康促进，对公众进行健康指导和不良健康行为干预；组织开展健康科普活动和形象化宣传，开展健康教育效果监测与评估。</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（七）开展疾病预防控制、健康教育相关科研、技术应用及推广、业务培训和指导等工作。</w:t>
      </w:r>
    </w:p>
    <w:p>
      <w:pPr>
        <w:snapToGrid/>
        <w:spacing w:before="0" w:beforeAutospacing="0" w:after="0" w:afterAutospacing="0" w:line="360" w:lineRule="auto"/>
        <w:ind w:firstLine="645"/>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（八）承担市卫生健康局交办的其他工作。</w:t>
      </w:r>
    </w:p>
    <w:p>
      <w:pPr>
        <w:snapToGrid w:val="0"/>
        <w:spacing w:before="0" w:beforeAutospacing="0" w:after="0" w:afterAutospacing="0" w:line="240" w:lineRule="atLeast"/>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 xml:space="preserve"> </w:t>
      </w:r>
    </w:p>
    <w:p>
      <w:pPr>
        <w:snapToGrid w:val="0"/>
        <w:spacing w:before="0" w:beforeAutospacing="0" w:after="0" w:afterAutospacing="0" w:line="240" w:lineRule="atLeast"/>
        <w:ind w:firstLine="640" w:firstLineChars="200"/>
        <w:jc w:val="both"/>
        <w:textAlignment w:val="baseline"/>
        <w:rPr>
          <w:rStyle w:val="7"/>
          <w:rFonts w:ascii="仿宋" w:hAnsi="仿宋" w:eastAsia="仿宋"/>
          <w:b w:val="0"/>
          <w:i w:val="0"/>
          <w:caps w:val="0"/>
          <w:spacing w:val="0"/>
          <w:w w:val="100"/>
          <w:kern w:val="2"/>
          <w:sz w:val="32"/>
          <w:szCs w:val="32"/>
          <w:lang w:val="en-US" w:eastAsia="zh-CN" w:bidi="ar-SA"/>
        </w:rPr>
      </w:pPr>
      <w:r>
        <w:rPr>
          <w:rStyle w:val="7"/>
          <w:rFonts w:ascii="仿宋" w:hAnsi="仿宋" w:eastAsia="仿宋"/>
          <w:b w:val="0"/>
          <w:i w:val="0"/>
          <w:caps w:val="0"/>
          <w:spacing w:val="0"/>
          <w:w w:val="100"/>
          <w:kern w:val="2"/>
          <w:sz w:val="32"/>
          <w:szCs w:val="32"/>
          <w:lang w:val="en-US" w:eastAsia="zh-CN" w:bidi="ar-SA"/>
        </w:rPr>
        <w:t>二、机构设置</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庄河市疾病预防控制中心设以下内设机构：</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1.党政办公室</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负责党务、机构编制、人事管理、离退休干部职工服务等工作；负责文电、信息、档案、保密、信访、安全生产、文字综合等工作；负责财务管理、审计、项目资金预算收支情况监测、专项检查事务等工作；负责资产管理、政府采购等工作；承担突发公共卫生事件和灾害疫情应急处置、质量管理等工作。</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事业编制14名，部长职数1名、副部长职数1名。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2.公共卫生工作部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负责生存环境中食品、水、职业、环境等危害健康因素监测干预等工作；相关污染事故、中毒事件开展流行病学调查、卫生学评价和采取现场干预控制措施等工作。</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事业编制13名，部长职数1名、副部长职数1名。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3.传染病防制与免疫规划部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承担疫情及健康相关因素信息管理，开展疾病监测，收集、报告、分析和评价疾病与健康危害因素等公共卫生信息；对全市免疫策略的实施进行技术指导与评价；开展食源性等疾病的监测评价和流行病学调查。</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事业编制12名，部长职数1名、副部长职数1名。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4.慢性病地方病防制工作部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承担寄生虫病、地方病、慢性非传染性疾病等预防与控制；开展公众健康和营养状况监测与评价，提出干预策略与措施；开展健康危害因素监测与干预。</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事业编制7名，部长职数1名、副部长职数1名。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5.消毒与病媒生物防制工作部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指导疫源地和灾区消毒，重点行业与场所消毒效果监测等工作；病媒生物监测与控制，病媒传染病监测与控制等工作。</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事业编制5名，部长职数1名、副部长职数1名。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6.检验检测工作部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负责疾病及相关因素、环境危害健康因素、公共卫生突发事件等相关样品的微生物病原学、卫生学物理化学的检测等工作；负责严格实验计量器皿、设备和实验室质量控制等工作；负责全市从业人员预防性健康体检等工作。</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事业编制18名，部长职数1名、副部长职数1名。</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7.健康教育部</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开展健康教育与健康促进，对公众进行健康指导和不良健康行为干预；组织开展健康科普活动和形象化宣传，开展健康教育效果监测与评估；开展疾病预防控制、健康教育相关科研、技术应用及推广、业务培训和指导等工作。</w:t>
      </w:r>
    </w:p>
    <w:p>
      <w:pPr>
        <w:snapToGrid/>
        <w:spacing w:before="0" w:beforeAutospacing="0" w:after="0" w:afterAutospacing="0" w:line="360" w:lineRule="auto"/>
        <w:ind w:firstLine="640"/>
        <w:jc w:val="both"/>
        <w:textAlignment w:val="baseline"/>
        <w:rPr>
          <w:rStyle w:val="7"/>
          <w:rFonts w:ascii="仿宋" w:hAnsi="仿宋" w:eastAsia="仿宋"/>
          <w:b w:val="0"/>
          <w:i w:val="0"/>
          <w:caps w:val="0"/>
          <w:spacing w:val="0"/>
          <w:w w:val="100"/>
          <w:kern w:val="1"/>
          <w:sz w:val="32"/>
          <w:szCs w:val="32"/>
          <w:lang w:val="en-US" w:eastAsia="zh-CN" w:bidi="ar-SA"/>
        </w:rPr>
      </w:pPr>
      <w:r>
        <w:rPr>
          <w:rStyle w:val="7"/>
          <w:rFonts w:ascii="仿宋" w:hAnsi="仿宋" w:eastAsia="仿宋"/>
          <w:b w:val="0"/>
          <w:i w:val="0"/>
          <w:caps w:val="0"/>
          <w:spacing w:val="0"/>
          <w:w w:val="100"/>
          <w:kern w:val="1"/>
          <w:sz w:val="32"/>
          <w:szCs w:val="32"/>
          <w:lang w:val="en-US" w:eastAsia="zh-CN" w:bidi="ar-SA"/>
        </w:rPr>
        <w:t>事业编制6名，部长职数1名、副部长职数1名。</w:t>
      </w:r>
    </w:p>
    <w:p>
      <w:pPr>
        <w:snapToGrid/>
        <w:spacing w:before="0" w:beforeAutospacing="0" w:after="0" w:afterAutospacing="0" w:line="240" w:lineRule="auto"/>
        <w:jc w:val="both"/>
        <w:textAlignment w:val="baseline"/>
        <w:rPr>
          <w:rStyle w:val="7"/>
          <w:rFonts w:ascii="仿宋" w:hAnsi="仿宋" w:eastAsia="仿宋"/>
          <w:b/>
          <w:i w:val="0"/>
          <w:caps w:val="0"/>
          <w:color w:val="FF0000"/>
          <w:spacing w:val="0"/>
          <w:w w:val="100"/>
          <w:kern w:val="2"/>
          <w:sz w:val="32"/>
          <w:szCs w:val="32"/>
          <w:lang w:val="en-US" w:eastAsia="zh-CN" w:bidi="ar-SA"/>
        </w:rPr>
      </w:pPr>
    </w:p>
    <w:p>
      <w:pPr>
        <w:snapToGrid/>
        <w:spacing w:before="0" w:beforeAutospacing="0" w:after="0" w:afterAutospacing="0" w:line="240" w:lineRule="auto"/>
        <w:ind w:firstLine="2997" w:firstLineChars="933"/>
        <w:jc w:val="both"/>
        <w:textAlignment w:val="baseline"/>
        <w:rPr>
          <w:rStyle w:val="7"/>
          <w:rFonts w:ascii="仿宋" w:hAnsi="仿宋" w:eastAsia="仿宋"/>
          <w:b/>
          <w:i w:val="0"/>
          <w:caps w:val="0"/>
          <w:spacing w:val="0"/>
          <w:w w:val="100"/>
          <w:kern w:val="2"/>
          <w:sz w:val="32"/>
          <w:szCs w:val="32"/>
          <w:lang w:val="en-US" w:eastAsia="zh-CN" w:bidi="ar-SA"/>
        </w:rPr>
      </w:pPr>
    </w:p>
    <w:p>
      <w:pPr>
        <w:snapToGrid/>
        <w:spacing w:before="0" w:beforeAutospacing="0" w:after="0" w:afterAutospacing="0" w:line="240" w:lineRule="auto"/>
        <w:ind w:firstLine="4121" w:firstLineChars="933"/>
        <w:jc w:val="both"/>
        <w:textAlignment w:val="baseline"/>
        <w:rPr>
          <w:rStyle w:val="7"/>
          <w:rFonts w:ascii="Times New Roman" w:hAnsi="Times New Roman" w:eastAsia="宋体"/>
          <w:b/>
          <w:i w:val="0"/>
          <w:caps w:val="0"/>
          <w:spacing w:val="0"/>
          <w:w w:val="100"/>
          <w:kern w:val="2"/>
          <w:sz w:val="44"/>
          <w:szCs w:val="44"/>
          <w:lang w:val="en-US" w:eastAsia="zh-CN" w:bidi="ar-SA"/>
        </w:rPr>
      </w:pPr>
    </w:p>
    <w:p>
      <w:pPr>
        <w:snapToGrid/>
        <w:spacing w:before="0" w:beforeAutospacing="0" w:after="0" w:afterAutospacing="0" w:line="240" w:lineRule="auto"/>
        <w:jc w:val="both"/>
        <w:textAlignment w:val="baseline"/>
        <w:rPr>
          <w:rStyle w:val="7"/>
          <w:rFonts w:ascii="Times New Roman" w:hAnsi="Times New Roman" w:eastAsia="宋体"/>
          <w:b/>
          <w:i w:val="0"/>
          <w:caps w:val="0"/>
          <w:spacing w:val="0"/>
          <w:w w:val="100"/>
          <w:kern w:val="2"/>
          <w:sz w:val="44"/>
          <w:szCs w:val="44"/>
          <w:lang w:val="en-US" w:eastAsia="zh-CN" w:bidi="ar-SA"/>
        </w:rPr>
      </w:pPr>
    </w:p>
    <w:p>
      <w:pPr>
        <w:snapToGrid/>
        <w:spacing w:before="0" w:beforeAutospacing="0" w:after="0" w:afterAutospacing="0" w:line="240" w:lineRule="auto"/>
        <w:jc w:val="both"/>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 xml:space="preserve">第二部分   </w:t>
      </w: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庄河市疾病预防控制中心</w:t>
      </w:r>
      <w:r>
        <w:rPr>
          <w:rStyle w:val="7"/>
          <w:rFonts w:ascii="黑体" w:hAnsi="黑体" w:eastAsia="黑体"/>
          <w:b w:val="0"/>
          <w:i w:val="0"/>
          <w:caps w:val="0"/>
          <w:spacing w:val="0"/>
          <w:w w:val="100"/>
          <w:kern w:val="2"/>
          <w:sz w:val="44"/>
          <w:szCs w:val="44"/>
          <w:lang w:val="en-US" w:eastAsia="zh-CN" w:bidi="ar-SA"/>
        </w:rPr>
        <w:t>2021</w:t>
      </w:r>
      <w:r>
        <w:rPr>
          <w:rStyle w:val="7"/>
          <w:rFonts w:ascii="楷体_GB2312" w:eastAsia="楷体_GB2312"/>
          <w:b w:val="0"/>
          <w:i w:val="0"/>
          <w:caps w:val="0"/>
          <w:spacing w:val="0"/>
          <w:w w:val="100"/>
          <w:kern w:val="2"/>
          <w:sz w:val="44"/>
          <w:szCs w:val="44"/>
          <w:lang w:val="en-US" w:eastAsia="zh-CN" w:bidi="ar-SA"/>
        </w:rPr>
        <w:t>年单位预算表</w:t>
      </w:r>
    </w:p>
    <w:p>
      <w:pPr>
        <w:snapToGrid/>
        <w:spacing w:before="0" w:beforeAutospacing="0" w:after="0" w:afterAutospacing="0" w:line="240" w:lineRule="auto"/>
        <w:jc w:val="center"/>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（详见附件）</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一、收支预算总表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二、收入预算总表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三、支出预算总表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四、支出功能分类预算表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五、支出经济分类预算表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六、财政拨款预算总表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七、一般公共预算支出表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八、一般公共预算基本支出表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九、一般公共预算“三公”经费支出预算表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十、政府性基金预算支出表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十一、国有资本经营预算支出表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十二、项目支出表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十三、政府采购预算表</w:t>
      </w:r>
    </w:p>
    <w:p>
      <w:pPr>
        <w:snapToGrid w:val="0"/>
        <w:spacing w:before="0" w:beforeAutospacing="0" w:after="0" w:afterAutospacing="0" w:line="240" w:lineRule="atLeast"/>
        <w:jc w:val="both"/>
        <w:textAlignment w:val="baseline"/>
        <w:rPr>
          <w:rStyle w:val="7"/>
          <w:rFonts w:ascii="仿宋_GB2312" w:eastAsia="仿宋_GB2312"/>
          <w:b w:val="0"/>
          <w:i w:val="0"/>
          <w:caps w:val="0"/>
          <w:spacing w:val="0"/>
          <w:w w:val="100"/>
          <w:kern w:val="2"/>
          <w:sz w:val="32"/>
          <w:szCs w:val="32"/>
          <w:lang w:val="en-US" w:eastAsia="zh-CN" w:bidi="ar-SA"/>
        </w:rPr>
      </w:pPr>
      <w:r>
        <w:rPr>
          <w:rStyle w:val="7"/>
          <w:rFonts w:ascii="仿宋_GB2312" w:eastAsia="仿宋_GB2312"/>
          <w:b w:val="0"/>
          <w:i w:val="0"/>
          <w:caps w:val="0"/>
          <w:spacing w:val="0"/>
          <w:w w:val="100"/>
          <w:kern w:val="2"/>
          <w:sz w:val="32"/>
          <w:szCs w:val="32"/>
          <w:lang w:val="en-US" w:eastAsia="zh-CN" w:bidi="ar-SA"/>
        </w:rPr>
        <w:t>十四、政府购买服务预算表</w:t>
      </w: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 xml:space="preserve">第三部分   </w:t>
      </w: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庄河市疾病预防控制中心</w:t>
      </w:r>
      <w:r>
        <w:rPr>
          <w:rStyle w:val="7"/>
          <w:rFonts w:ascii="Times New Roman" w:hAnsi="Times New Roman" w:eastAsia="宋体"/>
          <w:b w:val="0"/>
          <w:i w:val="0"/>
          <w:caps w:val="0"/>
          <w:spacing w:val="0"/>
          <w:w w:val="100"/>
          <w:kern w:val="2"/>
          <w:sz w:val="44"/>
          <w:szCs w:val="44"/>
          <w:lang w:val="en-US" w:eastAsia="zh-CN" w:bidi="ar-SA"/>
        </w:rPr>
        <w:t>2021</w:t>
      </w:r>
      <w:r>
        <w:rPr>
          <w:rStyle w:val="7"/>
          <w:rFonts w:ascii="楷体_GB2312" w:eastAsia="楷体_GB2312"/>
          <w:b w:val="0"/>
          <w:i w:val="0"/>
          <w:caps w:val="0"/>
          <w:spacing w:val="0"/>
          <w:w w:val="100"/>
          <w:kern w:val="2"/>
          <w:sz w:val="44"/>
          <w:szCs w:val="44"/>
          <w:lang w:val="en-US" w:eastAsia="zh-CN" w:bidi="ar-SA"/>
        </w:rPr>
        <w:t>年单位预算情况</w:t>
      </w:r>
    </w:p>
    <w:p>
      <w:pPr>
        <w:snapToGrid/>
        <w:spacing w:before="0" w:beforeAutospacing="0" w:after="0" w:afterAutospacing="0" w:line="240" w:lineRule="auto"/>
        <w:jc w:val="center"/>
        <w:textAlignment w:val="baseline"/>
        <w:rPr>
          <w:rStyle w:val="7"/>
          <w:rFonts w:ascii="楷体_GB2312" w:eastAsia="楷体_GB2312"/>
          <w:b w:val="0"/>
          <w:i w:val="0"/>
          <w:caps w:val="0"/>
          <w:spacing w:val="0"/>
          <w:w w:val="100"/>
          <w:kern w:val="2"/>
          <w:sz w:val="44"/>
          <w:szCs w:val="44"/>
          <w:lang w:val="en-US" w:eastAsia="zh-CN" w:bidi="ar-SA"/>
        </w:rPr>
      </w:pPr>
      <w:r>
        <w:rPr>
          <w:rStyle w:val="7"/>
          <w:rFonts w:ascii="楷体_GB2312" w:eastAsia="楷体_GB2312"/>
          <w:b w:val="0"/>
          <w:i w:val="0"/>
          <w:caps w:val="0"/>
          <w:spacing w:val="0"/>
          <w:w w:val="100"/>
          <w:kern w:val="2"/>
          <w:sz w:val="44"/>
          <w:szCs w:val="44"/>
          <w:lang w:val="en-US" w:eastAsia="zh-CN" w:bidi="ar-SA"/>
        </w:rPr>
        <w:t>说明</w:t>
      </w:r>
    </w:p>
    <w:p>
      <w:pPr>
        <w:snapToGrid/>
        <w:spacing w:before="0" w:beforeAutospacing="0" w:after="0" w:afterAutospacing="0" w:line="240" w:lineRule="auto"/>
        <w:ind w:firstLine="643" w:firstLineChars="200"/>
        <w:jc w:val="both"/>
        <w:textAlignment w:val="baseline"/>
        <w:rPr>
          <w:rStyle w:val="7"/>
          <w:rFonts w:ascii="仿宋_GB2312" w:eastAsia="仿宋_GB2312"/>
          <w:b/>
          <w:i w:val="0"/>
          <w:caps w:val="0"/>
          <w:spacing w:val="0"/>
          <w:w w:val="100"/>
          <w:kern w:val="2"/>
          <w:sz w:val="32"/>
          <w:szCs w:val="32"/>
          <w:lang w:val="en-US" w:eastAsia="zh-CN" w:bidi="ar-SA"/>
        </w:rPr>
      </w:pP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一、2021年单位收支预算情况</w:t>
      </w:r>
    </w:p>
    <w:p>
      <w:pPr>
        <w:snapToGrid/>
        <w:spacing w:before="0" w:beforeAutospacing="0" w:after="0" w:afterAutospacing="0" w:line="240" w:lineRule="auto"/>
        <w:ind w:firstLine="66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2021年收入预算</w:t>
      </w:r>
      <w:r>
        <w:rPr>
          <w:rStyle w:val="7"/>
          <w:rFonts w:ascii="仿宋_GB2312" w:eastAsia="仿宋_GB2312"/>
          <w:b w:val="0"/>
          <w:i w:val="0"/>
          <w:caps w:val="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万元，比2020年增加1039.5万元。其中：一般公共预算拨款收入</w:t>
      </w:r>
      <w:r>
        <w:rPr>
          <w:rStyle w:val="7"/>
          <w:rFonts w:ascii="仿宋_GB2312" w:eastAsia="仿宋_GB2312"/>
          <w:b w:val="0"/>
          <w:i w:val="0"/>
          <w:caps w:val="0"/>
          <w:color w:val="00000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万元，政府性基金预算拨款收入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万元，国有资本经营预算拨款收入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万元，财政专户管理资金收入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万元，事业收入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万元，上级补助收入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万元，附属单位上缴收入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万元，事业单位经营收入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 其他收入</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 上年结转结余</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w:t>
      </w:r>
    </w:p>
    <w:p>
      <w:pPr>
        <w:snapToGrid/>
        <w:spacing w:before="0" w:beforeAutospacing="0" w:after="0" w:afterAutospacing="0" w:line="240" w:lineRule="auto"/>
        <w:ind w:firstLine="66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2021年支出预算</w:t>
      </w:r>
      <w:r>
        <w:rPr>
          <w:rStyle w:val="7"/>
          <w:rFonts w:ascii="仿宋_GB2312" w:eastAsia="仿宋_GB2312"/>
          <w:b w:val="0"/>
          <w:i w:val="0"/>
          <w:caps w:val="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万元，比2020年增加1039.5万元。其中：人员经费</w:t>
      </w:r>
      <w:r>
        <w:rPr>
          <w:rStyle w:val="7"/>
          <w:rFonts w:ascii="仿宋_GB2312" w:eastAsia="仿宋_GB2312"/>
          <w:b w:val="0"/>
          <w:i w:val="0"/>
          <w:caps w:val="0"/>
          <w:spacing w:val="0"/>
          <w:w w:val="100"/>
          <w:kern w:val="2"/>
          <w:sz w:val="32"/>
          <w:szCs w:val="32"/>
          <w:lang w:val="en-US" w:eastAsia="zh-CN" w:bidi="ar-SA"/>
        </w:rPr>
        <w:t>837.1</w:t>
      </w:r>
      <w:r>
        <w:rPr>
          <w:rStyle w:val="7"/>
          <w:rFonts w:ascii="仿宋_GB2312" w:hAnsi="宋体" w:eastAsia="仿宋_GB2312"/>
          <w:b w:val="0"/>
          <w:i w:val="0"/>
          <w:caps w:val="0"/>
          <w:color w:val="000000"/>
          <w:spacing w:val="0"/>
          <w:w w:val="100"/>
          <w:kern w:val="2"/>
          <w:sz w:val="32"/>
          <w:szCs w:val="32"/>
          <w:lang w:val="en-US" w:eastAsia="zh-CN" w:bidi="ar-SA"/>
        </w:rPr>
        <w:t>万元，公用经费</w:t>
      </w:r>
      <w:r>
        <w:rPr>
          <w:rStyle w:val="7"/>
          <w:rFonts w:ascii="仿宋_GB2312" w:eastAsia="仿宋_GB2312"/>
          <w:b w:val="0"/>
          <w:i w:val="0"/>
          <w:caps w:val="0"/>
          <w:spacing w:val="0"/>
          <w:w w:val="100"/>
          <w:kern w:val="2"/>
          <w:sz w:val="32"/>
          <w:szCs w:val="32"/>
          <w:lang w:val="en-US" w:eastAsia="zh-CN" w:bidi="ar-SA"/>
        </w:rPr>
        <w:t>77.2</w:t>
      </w:r>
      <w:r>
        <w:rPr>
          <w:rStyle w:val="7"/>
          <w:rFonts w:ascii="仿宋_GB2312" w:hAnsi="宋体" w:eastAsia="仿宋_GB2312"/>
          <w:b w:val="0"/>
          <w:i w:val="0"/>
          <w:caps w:val="0"/>
          <w:color w:val="000000"/>
          <w:spacing w:val="0"/>
          <w:w w:val="100"/>
          <w:kern w:val="2"/>
          <w:sz w:val="32"/>
          <w:szCs w:val="32"/>
          <w:lang w:val="en-US" w:eastAsia="zh-CN" w:bidi="ar-SA"/>
        </w:rPr>
        <w:t>万元，部门预算项目经费125.2万元,本年预留项目经费</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w:t>
      </w:r>
    </w:p>
    <w:p>
      <w:pPr>
        <w:snapToGrid/>
        <w:spacing w:before="0" w:beforeAutospacing="0" w:after="0" w:afterAutospacing="0" w:line="240" w:lineRule="auto"/>
        <w:ind w:firstLine="66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年终结转结余</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二、2021年财政拨款收支预算情况</w:t>
      </w:r>
    </w:p>
    <w:p>
      <w:pPr>
        <w:snapToGrid/>
        <w:spacing w:before="0" w:beforeAutospacing="0" w:after="0" w:afterAutospacing="0" w:line="240" w:lineRule="auto"/>
        <w:ind w:firstLine="66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2021年财政拨款收入预算</w:t>
      </w:r>
      <w:r>
        <w:rPr>
          <w:rStyle w:val="7"/>
          <w:rFonts w:ascii="仿宋_GB2312" w:eastAsia="仿宋_GB2312"/>
          <w:b w:val="0"/>
          <w:i w:val="0"/>
          <w:caps w:val="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万元，比2020年增加1039.5万元。其中：一般公共预算收入</w:t>
      </w:r>
      <w:r>
        <w:rPr>
          <w:rStyle w:val="7"/>
          <w:rFonts w:ascii="仿宋_GB2312" w:eastAsia="仿宋_GB2312"/>
          <w:b w:val="0"/>
          <w:i w:val="0"/>
          <w:caps w:val="0"/>
          <w:color w:val="00000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万元，政府性基金收入</w:t>
      </w:r>
      <w:r>
        <w:rPr>
          <w:rStyle w:val="7"/>
          <w:rFonts w:ascii="仿宋_GB2312" w:eastAsia="仿宋_GB2312"/>
          <w:b w:val="0"/>
          <w:i w:val="0"/>
          <w:caps w:val="0"/>
          <w:color w:val="00000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万元，国有资本经营预算收入</w:t>
      </w:r>
      <w:r>
        <w:rPr>
          <w:rStyle w:val="7"/>
          <w:rFonts w:ascii="仿宋_GB2312" w:eastAsia="仿宋_GB2312"/>
          <w:b w:val="0"/>
          <w:i w:val="0"/>
          <w:caps w:val="0"/>
          <w:color w:val="00000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万元。</w:t>
      </w:r>
    </w:p>
    <w:p>
      <w:pPr>
        <w:snapToGrid/>
        <w:spacing w:before="0" w:beforeAutospacing="0" w:after="0" w:afterAutospacing="0" w:line="240" w:lineRule="auto"/>
        <w:ind w:firstLine="66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2021年财政拨款支出预算</w:t>
      </w:r>
      <w:r>
        <w:rPr>
          <w:rStyle w:val="7"/>
          <w:rFonts w:ascii="仿宋_GB2312" w:eastAsia="仿宋_GB2312"/>
          <w:b w:val="0"/>
          <w:i w:val="0"/>
          <w:caps w:val="0"/>
          <w:spacing w:val="0"/>
          <w:w w:val="100"/>
          <w:kern w:val="2"/>
          <w:sz w:val="32"/>
          <w:szCs w:val="32"/>
          <w:lang w:val="en-US" w:eastAsia="zh-CN" w:bidi="ar-SA"/>
        </w:rPr>
        <w:t>1039.5</w:t>
      </w:r>
      <w:r>
        <w:rPr>
          <w:rStyle w:val="7"/>
          <w:rFonts w:ascii="仿宋_GB2312" w:hAnsi="宋体" w:eastAsia="仿宋_GB2312"/>
          <w:b w:val="0"/>
          <w:i w:val="0"/>
          <w:caps w:val="0"/>
          <w:color w:val="000000"/>
          <w:spacing w:val="0"/>
          <w:w w:val="100"/>
          <w:kern w:val="2"/>
          <w:sz w:val="32"/>
          <w:szCs w:val="32"/>
          <w:lang w:val="en-US" w:eastAsia="zh-CN" w:bidi="ar-SA"/>
        </w:rPr>
        <w:t>万元，比2020年增加1039.5万元。按照“人员经费按实际，公用经费按定额，项目经费按需要与可能”的原则编制。其中：人员经费</w:t>
      </w:r>
      <w:r>
        <w:rPr>
          <w:rStyle w:val="7"/>
          <w:rFonts w:ascii="仿宋_GB2312" w:eastAsia="仿宋_GB2312"/>
          <w:b w:val="0"/>
          <w:i w:val="0"/>
          <w:caps w:val="0"/>
          <w:spacing w:val="0"/>
          <w:w w:val="100"/>
          <w:kern w:val="2"/>
          <w:sz w:val="32"/>
          <w:szCs w:val="32"/>
          <w:lang w:val="en-US" w:eastAsia="zh-CN" w:bidi="ar-SA"/>
        </w:rPr>
        <w:t>837.1</w:t>
      </w:r>
      <w:r>
        <w:rPr>
          <w:rStyle w:val="7"/>
          <w:rFonts w:ascii="仿宋_GB2312" w:hAnsi="宋体" w:eastAsia="仿宋_GB2312"/>
          <w:b w:val="0"/>
          <w:i w:val="0"/>
          <w:caps w:val="0"/>
          <w:color w:val="000000"/>
          <w:spacing w:val="0"/>
          <w:w w:val="100"/>
          <w:kern w:val="2"/>
          <w:sz w:val="32"/>
          <w:szCs w:val="32"/>
          <w:lang w:val="en-US" w:eastAsia="zh-CN" w:bidi="ar-SA"/>
        </w:rPr>
        <w:t>万元，公用经费</w:t>
      </w:r>
      <w:r>
        <w:rPr>
          <w:rStyle w:val="7"/>
          <w:rFonts w:ascii="仿宋_GB2312" w:eastAsia="仿宋_GB2312"/>
          <w:b w:val="0"/>
          <w:i w:val="0"/>
          <w:caps w:val="0"/>
          <w:spacing w:val="0"/>
          <w:w w:val="100"/>
          <w:kern w:val="2"/>
          <w:sz w:val="32"/>
          <w:szCs w:val="32"/>
          <w:lang w:val="en-US" w:eastAsia="zh-CN" w:bidi="ar-SA"/>
        </w:rPr>
        <w:t>77.2</w:t>
      </w:r>
      <w:r>
        <w:rPr>
          <w:rStyle w:val="7"/>
          <w:rFonts w:ascii="仿宋_GB2312" w:hAnsi="宋体" w:eastAsia="仿宋_GB2312"/>
          <w:b w:val="0"/>
          <w:i w:val="0"/>
          <w:caps w:val="0"/>
          <w:color w:val="000000"/>
          <w:spacing w:val="0"/>
          <w:w w:val="100"/>
          <w:kern w:val="2"/>
          <w:sz w:val="32"/>
          <w:szCs w:val="32"/>
          <w:lang w:val="en-US" w:eastAsia="zh-CN" w:bidi="ar-SA"/>
        </w:rPr>
        <w:t>万元, 部门预算项目经费</w:t>
      </w:r>
      <w:r>
        <w:rPr>
          <w:rStyle w:val="7"/>
          <w:rFonts w:ascii="仿宋_GB2312" w:eastAsia="仿宋_GB2312"/>
          <w:b w:val="0"/>
          <w:i w:val="0"/>
          <w:caps w:val="0"/>
          <w:spacing w:val="0"/>
          <w:w w:val="100"/>
          <w:kern w:val="2"/>
          <w:sz w:val="32"/>
          <w:szCs w:val="32"/>
          <w:lang w:val="en-US" w:eastAsia="zh-CN" w:bidi="ar-SA"/>
        </w:rPr>
        <w:t>125.2</w:t>
      </w:r>
      <w:r>
        <w:rPr>
          <w:rStyle w:val="7"/>
          <w:rFonts w:ascii="仿宋_GB2312" w:hAnsi="宋体" w:eastAsia="仿宋_GB2312"/>
          <w:b w:val="0"/>
          <w:i w:val="0"/>
          <w:caps w:val="0"/>
          <w:color w:val="000000"/>
          <w:spacing w:val="0"/>
          <w:w w:val="100"/>
          <w:kern w:val="2"/>
          <w:sz w:val="32"/>
          <w:szCs w:val="32"/>
          <w:lang w:val="en-US" w:eastAsia="zh-CN" w:bidi="ar-SA"/>
        </w:rPr>
        <w:t>万元, 本年预留项目经费</w:t>
      </w:r>
      <w:r>
        <w:rPr>
          <w:rStyle w:val="7"/>
          <w:rFonts w:ascii="仿宋_GB2312" w:eastAsia="仿宋_GB2312"/>
          <w:b w:val="0"/>
          <w:i w:val="0"/>
          <w:caps w:val="0"/>
          <w:spacing w:val="0"/>
          <w:w w:val="100"/>
          <w:kern w:val="2"/>
          <w:sz w:val="32"/>
          <w:szCs w:val="32"/>
          <w:lang w:val="en-US" w:eastAsia="zh-CN" w:bidi="ar-SA"/>
        </w:rPr>
        <w:t>0</w:t>
      </w:r>
      <w:r>
        <w:rPr>
          <w:rStyle w:val="7"/>
          <w:rFonts w:ascii="仿宋_GB2312" w:hAnsi="宋体" w:eastAsia="仿宋_GB2312"/>
          <w:b w:val="0"/>
          <w:i w:val="0"/>
          <w:caps w:val="0"/>
          <w:color w:val="000000"/>
          <w:spacing w:val="0"/>
          <w:w w:val="100"/>
          <w:kern w:val="2"/>
          <w:sz w:val="32"/>
          <w:szCs w:val="32"/>
          <w:lang w:val="en-US" w:eastAsia="zh-CN" w:bidi="ar-SA"/>
        </w:rPr>
        <w:t xml:space="preserve"> 万元。</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三、2021年一般公共预算支出预算情况</w:t>
      </w:r>
    </w:p>
    <w:p>
      <w:pPr>
        <w:snapToGrid/>
        <w:spacing w:before="0" w:beforeAutospacing="0" w:after="0" w:afterAutospacing="0" w:line="240" w:lineRule="auto"/>
        <w:ind w:firstLine="643" w:firstLineChars="200"/>
        <w:jc w:val="both"/>
        <w:textAlignment w:val="baseline"/>
        <w:rPr>
          <w:rStyle w:val="7"/>
          <w:rFonts w:ascii="楷体_GB2312" w:hAnsi="宋体" w:eastAsia="楷体_GB2312"/>
          <w:b/>
          <w:i w:val="0"/>
          <w:caps w:val="0"/>
          <w:color w:val="000000"/>
          <w:spacing w:val="0"/>
          <w:w w:val="100"/>
          <w:kern w:val="2"/>
          <w:sz w:val="32"/>
          <w:szCs w:val="32"/>
          <w:lang w:val="en-US" w:eastAsia="zh-CN" w:bidi="ar-SA"/>
        </w:rPr>
      </w:pPr>
      <w:r>
        <w:rPr>
          <w:rStyle w:val="7"/>
          <w:rFonts w:ascii="楷体_GB2312" w:hAnsi="宋体" w:eastAsia="楷体_GB2312"/>
          <w:b/>
          <w:i w:val="0"/>
          <w:caps w:val="0"/>
          <w:color w:val="000000"/>
          <w:spacing w:val="0"/>
          <w:w w:val="100"/>
          <w:kern w:val="2"/>
          <w:sz w:val="32"/>
          <w:szCs w:val="32"/>
          <w:lang w:val="en-US" w:eastAsia="zh-CN" w:bidi="ar-SA"/>
        </w:rPr>
        <w:t>（一）一般公共预算支出预算总体情况</w:t>
      </w:r>
    </w:p>
    <w:p>
      <w:pPr>
        <w:snapToGrid/>
        <w:spacing w:before="0" w:beforeAutospacing="0" w:after="0" w:afterAutospacing="0" w:line="240" w:lineRule="auto"/>
        <w:ind w:firstLine="640" w:firstLineChars="200"/>
        <w:jc w:val="both"/>
        <w:textAlignment w:val="baseline"/>
        <w:rPr>
          <w:rStyle w:val="7"/>
          <w:rFonts w:ascii="楷体_GB2312" w:hAnsi="宋体" w:eastAsia="楷体_GB2312"/>
          <w:b/>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2021年一般公共预算支出预算1039.5万元，占本年支出预算合计的100%。与2020年相比，一般公共预算支出预算增加1039.5万元，增长100%。主要原因：2020年预算在庄河市卫生健康服务中心一起，无法单独核算。</w:t>
      </w:r>
    </w:p>
    <w:p>
      <w:pPr>
        <w:snapToGrid/>
        <w:spacing w:before="0" w:beforeAutospacing="0" w:after="0" w:afterAutospacing="0" w:line="240" w:lineRule="auto"/>
        <w:ind w:firstLine="643" w:firstLineChars="200"/>
        <w:jc w:val="both"/>
        <w:textAlignment w:val="baseline"/>
        <w:rPr>
          <w:rStyle w:val="7"/>
          <w:rFonts w:ascii="楷体_GB2312" w:hAnsi="宋体" w:eastAsia="楷体_GB2312"/>
          <w:b/>
          <w:i w:val="0"/>
          <w:caps w:val="0"/>
          <w:color w:val="000000"/>
          <w:spacing w:val="0"/>
          <w:w w:val="100"/>
          <w:kern w:val="2"/>
          <w:sz w:val="32"/>
          <w:szCs w:val="32"/>
          <w:lang w:val="en-US" w:eastAsia="zh-CN" w:bidi="ar-SA"/>
        </w:rPr>
      </w:pPr>
      <w:r>
        <w:rPr>
          <w:rStyle w:val="7"/>
          <w:rFonts w:ascii="楷体_GB2312" w:hAnsi="宋体" w:eastAsia="楷体_GB2312"/>
          <w:b/>
          <w:i w:val="0"/>
          <w:caps w:val="0"/>
          <w:color w:val="000000"/>
          <w:spacing w:val="0"/>
          <w:w w:val="100"/>
          <w:kern w:val="2"/>
          <w:sz w:val="32"/>
          <w:szCs w:val="32"/>
          <w:lang w:val="en-US" w:eastAsia="zh-CN" w:bidi="ar-SA"/>
        </w:rPr>
        <w:t>（二）一般公共预算支出预算结构</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2021年一般公共预算支出预算1039.5万元，主要用于以下方面：</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1、社会保障和就业支出（类）113.9万元，比2020年预算增加113.9万元，增长100%。主要原因</w:t>
      </w:r>
      <w:r>
        <w:rPr>
          <w:rStyle w:val="7"/>
          <w:rFonts w:hint="eastAsia" w:ascii="仿宋_GB2312" w:hAnsi="宋体" w:eastAsia="仿宋_GB2312"/>
          <w:b w:val="0"/>
          <w:i w:val="0"/>
          <w:caps w:val="0"/>
          <w:color w:val="000000"/>
          <w:spacing w:val="0"/>
          <w:w w:val="100"/>
          <w:kern w:val="2"/>
          <w:sz w:val="32"/>
          <w:szCs w:val="32"/>
          <w:lang w:val="en-US" w:eastAsia="zh-CN" w:bidi="ar-SA"/>
        </w:rPr>
        <w:t>是</w:t>
      </w:r>
      <w:r>
        <w:rPr>
          <w:rStyle w:val="7"/>
          <w:rFonts w:ascii="仿宋_GB2312" w:hAnsi="宋体" w:eastAsia="仿宋_GB2312"/>
          <w:b w:val="0"/>
          <w:i w:val="0"/>
          <w:caps w:val="0"/>
          <w:color w:val="000000"/>
          <w:spacing w:val="0"/>
          <w:w w:val="100"/>
          <w:kern w:val="2"/>
          <w:sz w:val="32"/>
          <w:szCs w:val="32"/>
          <w:lang w:val="en-US" w:eastAsia="zh-CN" w:bidi="ar-SA"/>
        </w:rPr>
        <w:t>2020年预算在庄河市卫生健康服务中心一起，无法单独核算。</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2、卫生健康支出（类）793.9万元，比2020年预算增加793.9万元，增长100%。主要原因</w:t>
      </w:r>
      <w:r>
        <w:rPr>
          <w:rStyle w:val="7"/>
          <w:rFonts w:hint="eastAsia" w:ascii="仿宋_GB2312" w:hAnsi="宋体" w:eastAsia="仿宋_GB2312"/>
          <w:b w:val="0"/>
          <w:i w:val="0"/>
          <w:caps w:val="0"/>
          <w:color w:val="000000"/>
          <w:spacing w:val="0"/>
          <w:w w:val="100"/>
          <w:kern w:val="2"/>
          <w:sz w:val="32"/>
          <w:szCs w:val="32"/>
          <w:lang w:val="en-US" w:eastAsia="zh-CN" w:bidi="ar-SA"/>
        </w:rPr>
        <w:t>是</w:t>
      </w:r>
      <w:r>
        <w:rPr>
          <w:rStyle w:val="7"/>
          <w:rFonts w:ascii="仿宋_GB2312" w:hAnsi="宋体" w:eastAsia="仿宋_GB2312"/>
          <w:b w:val="0"/>
          <w:i w:val="0"/>
          <w:caps w:val="0"/>
          <w:color w:val="000000"/>
          <w:spacing w:val="0"/>
          <w:w w:val="100"/>
          <w:kern w:val="2"/>
          <w:sz w:val="32"/>
          <w:szCs w:val="32"/>
          <w:lang w:val="en-US" w:eastAsia="zh-CN" w:bidi="ar-SA"/>
        </w:rPr>
        <w:t>2020年预算在庄河市卫生健康服务中心一起，无法单独核算。</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3、住房保障支出（类）131.7万元，比2020年预算增加131.7万元，增长100%。主要原因</w:t>
      </w:r>
      <w:r>
        <w:rPr>
          <w:rStyle w:val="7"/>
          <w:rFonts w:hint="eastAsia" w:ascii="仿宋_GB2312" w:hAnsi="宋体" w:eastAsia="仿宋_GB2312"/>
          <w:b w:val="0"/>
          <w:i w:val="0"/>
          <w:caps w:val="0"/>
          <w:color w:val="000000"/>
          <w:spacing w:val="0"/>
          <w:w w:val="100"/>
          <w:kern w:val="2"/>
          <w:sz w:val="32"/>
          <w:szCs w:val="32"/>
          <w:lang w:val="en-US" w:eastAsia="zh-CN" w:bidi="ar-SA"/>
        </w:rPr>
        <w:t>是</w:t>
      </w:r>
      <w:r>
        <w:rPr>
          <w:rStyle w:val="7"/>
          <w:rFonts w:ascii="仿宋_GB2312" w:hAnsi="宋体" w:eastAsia="仿宋_GB2312"/>
          <w:b w:val="0"/>
          <w:i w:val="0"/>
          <w:caps w:val="0"/>
          <w:color w:val="000000"/>
          <w:spacing w:val="0"/>
          <w:w w:val="100"/>
          <w:kern w:val="2"/>
          <w:sz w:val="32"/>
          <w:szCs w:val="32"/>
          <w:lang w:val="en-US" w:eastAsia="zh-CN" w:bidi="ar-SA"/>
        </w:rPr>
        <w:t>2020年预算在庄河市卫生健康服务中心一起，无法单独核算。</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四、2021年一般公共预算基本支出预算情况</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2021年一般公共预算基本支出预算914.3万元，包括人员经费837.1万元，公用经费77.2万元。其中：</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1、工资福利支出796.6万元，主要用于：基本工资、津贴补贴、绩效工资、机关事业单位基本养老保险缴费、职工基本医疗补助、公务员医疗补助、其他社会保障缴费、住房公积金。</w:t>
      </w:r>
    </w:p>
    <w:p>
      <w:pPr>
        <w:snapToGrid/>
        <w:spacing w:before="0" w:beforeAutospacing="0" w:after="0" w:afterAutospacing="0" w:line="240" w:lineRule="auto"/>
        <w:ind w:firstLine="640" w:firstLineChars="200"/>
        <w:jc w:val="both"/>
        <w:textAlignment w:val="baseline"/>
        <w:rPr>
          <w:rStyle w:val="7"/>
          <w:rFonts w:ascii="仿宋_GB2312" w:hAnsi="宋体" w:eastAsia="仿宋_GB2312"/>
          <w:b w:val="0"/>
          <w:i w:val="0"/>
          <w:caps w:val="0"/>
          <w:color w:val="000000"/>
          <w:spacing w:val="0"/>
          <w:w w:val="100"/>
          <w:kern w:val="2"/>
          <w:sz w:val="32"/>
          <w:szCs w:val="32"/>
          <w:lang w:val="en-US" w:eastAsia="zh-CN" w:bidi="ar-SA"/>
        </w:rPr>
      </w:pPr>
      <w:r>
        <w:rPr>
          <w:rStyle w:val="7"/>
          <w:rFonts w:ascii="仿宋_GB2312" w:hAnsi="宋体" w:eastAsia="仿宋_GB2312"/>
          <w:b w:val="0"/>
          <w:i w:val="0"/>
          <w:caps w:val="0"/>
          <w:color w:val="000000"/>
          <w:spacing w:val="0"/>
          <w:w w:val="100"/>
          <w:kern w:val="2"/>
          <w:sz w:val="32"/>
          <w:szCs w:val="32"/>
          <w:lang w:val="en-US" w:eastAsia="zh-CN" w:bidi="ar-SA"/>
        </w:rPr>
        <w:t>2、商品和服务支出77.2万元，主要用于：办公费、印刷费、电费、邮电费、取暖费、差旅费、公务接待费、工会缴费、福利费、公务用车运行费、其他商品和服务支出。</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五、“三公”经费预算情况说明</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 xml:space="preserve">庄河市疾病预防控制中心2021年“三公”经费财政拨款预算为20万元，包括因公出国（境）费、公务接待费、公务用车购置及运行费，比2020年预算增加20万元。其中：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因公出国（境）费预算0万元，</w:t>
      </w:r>
      <w:r>
        <w:rPr>
          <w:rFonts w:ascii="仿宋_GB2312" w:eastAsia="仿宋_GB2312"/>
          <w:color w:val="000000"/>
          <w:sz w:val="32"/>
          <w:szCs w:val="32"/>
        </w:rPr>
        <w:t>主要安排</w:t>
      </w:r>
      <w:r>
        <w:rPr>
          <w:rFonts w:hint="eastAsia" w:ascii="仿宋_GB2312" w:eastAsia="仿宋_GB2312"/>
          <w:color w:val="000000"/>
          <w:sz w:val="32"/>
          <w:szCs w:val="32"/>
        </w:rPr>
        <w:t>本</w:t>
      </w:r>
      <w:r>
        <w:rPr>
          <w:rFonts w:ascii="仿宋_GB2312" w:eastAsia="仿宋_GB2312"/>
          <w:color w:val="000000"/>
          <w:sz w:val="32"/>
          <w:szCs w:val="32"/>
        </w:rPr>
        <w:t>单位人员的国际合作交流、重大项目洽谈、境外培训研修等的国际旅费、国外城市间交通费、住宿费、伙食费、</w:t>
      </w:r>
      <w:r>
        <w:rPr>
          <w:rFonts w:hint="eastAsia" w:ascii="仿宋_GB2312" w:eastAsia="仿宋_GB2312"/>
          <w:color w:val="000000"/>
          <w:sz w:val="32"/>
          <w:szCs w:val="32"/>
        </w:rPr>
        <w:t>保险</w:t>
      </w:r>
      <w:r>
        <w:rPr>
          <w:rFonts w:ascii="仿宋_GB2312" w:eastAsia="仿宋_GB2312"/>
          <w:color w:val="000000"/>
          <w:sz w:val="32"/>
          <w:szCs w:val="32"/>
        </w:rPr>
        <w:t>费、公杂费等支出</w:t>
      </w:r>
      <w:r>
        <w:rPr>
          <w:rFonts w:hint="eastAsia" w:ascii="仿宋_GB2312" w:eastAsia="仿宋_GB2312"/>
          <w:color w:val="000000"/>
          <w:sz w:val="32"/>
          <w:szCs w:val="32"/>
          <w:lang w:eastAsia="zh-CN"/>
        </w:rPr>
        <w:t>，</w:t>
      </w:r>
      <w:bookmarkStart w:id="0" w:name="_GoBack"/>
      <w:bookmarkEnd w:id="0"/>
      <w:r>
        <w:rPr>
          <w:rStyle w:val="7"/>
          <w:rFonts w:hint="eastAsia" w:ascii="仿宋_GB2312" w:eastAsia="仿宋_GB2312"/>
          <w:b w:val="0"/>
          <w:i w:val="0"/>
          <w:caps w:val="0"/>
          <w:color w:val="000000"/>
          <w:spacing w:val="0"/>
          <w:w w:val="100"/>
          <w:kern w:val="2"/>
          <w:sz w:val="32"/>
          <w:szCs w:val="32"/>
          <w:lang w:val="en-US" w:eastAsia="zh-CN" w:bidi="ar-SA"/>
        </w:rPr>
        <w:t>与</w:t>
      </w:r>
      <w:r>
        <w:rPr>
          <w:rStyle w:val="7"/>
          <w:rFonts w:ascii="仿宋_GB2312" w:eastAsia="仿宋_GB2312"/>
          <w:b w:val="0"/>
          <w:i w:val="0"/>
          <w:caps w:val="0"/>
          <w:color w:val="000000"/>
          <w:spacing w:val="0"/>
          <w:w w:val="100"/>
          <w:kern w:val="2"/>
          <w:sz w:val="32"/>
          <w:szCs w:val="32"/>
          <w:lang w:val="en-US" w:eastAsia="zh-CN" w:bidi="ar-SA"/>
        </w:rPr>
        <w:t>2020年预算</w:t>
      </w:r>
      <w:r>
        <w:rPr>
          <w:rStyle w:val="7"/>
          <w:rFonts w:hint="eastAsia" w:ascii="仿宋_GB2312" w:eastAsia="仿宋_GB2312"/>
          <w:b w:val="0"/>
          <w:i w:val="0"/>
          <w:caps w:val="0"/>
          <w:color w:val="000000"/>
          <w:spacing w:val="0"/>
          <w:w w:val="100"/>
          <w:kern w:val="2"/>
          <w:sz w:val="32"/>
          <w:szCs w:val="32"/>
          <w:lang w:val="en-US" w:eastAsia="zh-CN" w:bidi="ar-SA"/>
        </w:rPr>
        <w:t>持平</w:t>
      </w:r>
      <w:r>
        <w:rPr>
          <w:rStyle w:val="7"/>
          <w:rFonts w:ascii="仿宋_GB2312" w:eastAsia="仿宋_GB2312"/>
          <w:b w:val="0"/>
          <w:i w:val="0"/>
          <w:caps w:val="0"/>
          <w:color w:val="000000"/>
          <w:spacing w:val="0"/>
          <w:w w:val="100"/>
          <w:kern w:val="2"/>
          <w:sz w:val="32"/>
          <w:szCs w:val="32"/>
          <w:lang w:val="en-US" w:eastAsia="zh-CN" w:bidi="ar-SA"/>
        </w:rPr>
        <w:t xml:space="preserve">，主要原因是庄河市疾病预防控制中心本年度没有该项支出。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公务接待费预算2万元，主要安排全国性专业会议、国家重大政策调研、专项检查以及外事团组接待交流等执行公务或开展业务所需住宿费、交通费、伙食费等支出。比2020年预算增加2万元，主要原因是今年新增预算单位。</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 xml:space="preserve">公务用车购置及运行费预算18万元（其中，公务用车购置费0万元，公务用车运行费18万元），主要安排编制内公务车辆的报废更新，以及用于安排市内因公出差、公务文件交换、日常工作开展等所需公务用车燃料费、维修费、过路过桥费、保险费等支出。比2020年预算增加18万元，主要原因是今年新增预算单位。 </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六、政府性基金预算支出预算情况</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2021年度本单位无政府性基金预算。</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七、国有资本经营预算支出预算情况</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2021年度本单位无国有资本经营预算。</w:t>
      </w:r>
    </w:p>
    <w:p>
      <w:pPr>
        <w:snapToGrid/>
        <w:spacing w:before="0" w:beforeAutospacing="0" w:after="0" w:afterAutospacing="0" w:line="240" w:lineRule="auto"/>
        <w:ind w:firstLine="640" w:firstLineChars="200"/>
        <w:jc w:val="both"/>
        <w:textAlignment w:val="baseline"/>
        <w:rPr>
          <w:rStyle w:val="7"/>
          <w:rFonts w:ascii="黑体" w:hAnsi="黑体" w:eastAsia="黑体"/>
          <w:b w:val="0"/>
          <w:i w:val="0"/>
          <w:caps w:val="0"/>
          <w:spacing w:val="0"/>
          <w:w w:val="100"/>
          <w:kern w:val="2"/>
          <w:sz w:val="32"/>
          <w:szCs w:val="32"/>
          <w:lang w:val="en-US" w:eastAsia="zh-CN" w:bidi="ar-SA"/>
        </w:rPr>
      </w:pPr>
      <w:r>
        <w:rPr>
          <w:rStyle w:val="7"/>
          <w:rFonts w:ascii="黑体" w:hAnsi="黑体" w:eastAsia="黑体"/>
          <w:b w:val="0"/>
          <w:i w:val="0"/>
          <w:caps w:val="0"/>
          <w:spacing w:val="0"/>
          <w:w w:val="100"/>
          <w:kern w:val="2"/>
          <w:sz w:val="32"/>
          <w:szCs w:val="32"/>
          <w:lang w:val="en-US" w:eastAsia="zh-CN" w:bidi="ar-SA"/>
        </w:rPr>
        <w:t xml:space="preserve">八、其他重要事项的情况说明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 xml:space="preserve">1、项目概述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根据《食品安全法》、《公共场所管理条例》、《辽宁省生活饮用水卫生监督管理条例》等法规，要求相关从业人员“每年进行健康检查，取得健康证明后方可上岗工作”。庄河市疾病预防控制中心承担从业人员健康体检任务。</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2、立项依据</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《财政部、发展改革委关于清理规范一批行政事业性收费有关政策的通知》（财税【2017】20号）。</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3、实施主体</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庄河市疾病预防控制中心。</w:t>
      </w:r>
    </w:p>
    <w:p>
      <w:pPr>
        <w:numPr>
          <w:ilvl w:val="0"/>
          <w:numId w:val="1"/>
        </w:numPr>
        <w:snapToGrid/>
        <w:spacing w:before="0" w:beforeAutospacing="0" w:after="0" w:afterAutospacing="0" w:line="240" w:lineRule="auto"/>
        <w:ind w:left="1429" w:hanging="720"/>
        <w:jc w:val="both"/>
        <w:textAlignment w:val="baseline"/>
        <w:rPr>
          <w:rStyle w:val="7"/>
          <w:rFonts w:ascii="楷体_GB2312" w:hAnsi="宋体" w:eastAsia="楷体_GB2312"/>
          <w:b/>
          <w:i w:val="0"/>
          <w:caps w:val="0"/>
          <w:color w:val="000000"/>
          <w:spacing w:val="0"/>
          <w:w w:val="100"/>
          <w:kern w:val="2"/>
          <w:sz w:val="30"/>
          <w:szCs w:val="30"/>
          <w:lang w:val="en-US" w:eastAsia="zh-CN" w:bidi="ar-SA"/>
        </w:rPr>
      </w:pPr>
      <w:r>
        <w:rPr>
          <w:rStyle w:val="7"/>
          <w:rFonts w:ascii="仿宋_GB2312" w:eastAsia="仿宋_GB2312"/>
          <w:b w:val="0"/>
          <w:i w:val="0"/>
          <w:caps w:val="0"/>
          <w:color w:val="000000"/>
          <w:spacing w:val="0"/>
          <w:w w:val="100"/>
          <w:kern w:val="2"/>
          <w:sz w:val="32"/>
          <w:szCs w:val="32"/>
          <w:lang w:val="en-US" w:eastAsia="zh-CN" w:bidi="ar-SA"/>
        </w:rPr>
        <w:t>实施方案</w:t>
      </w:r>
    </w:p>
    <w:p>
      <w:pPr>
        <w:snapToGrid/>
        <w:spacing w:before="0" w:beforeAutospacing="0" w:after="0" w:afterAutospacing="0" w:line="240" w:lineRule="auto"/>
        <w:ind w:firstLine="645"/>
        <w:jc w:val="left"/>
        <w:textAlignment w:val="baseline"/>
        <w:rPr>
          <w:rStyle w:val="7"/>
          <w:rFonts w:ascii="仿宋_GB2312" w:hAnsi="宋体" w:eastAsia="仿宋_GB2312"/>
          <w:b w:val="0"/>
          <w:i w:val="0"/>
          <w:caps w:val="0"/>
          <w:color w:val="000000"/>
          <w:spacing w:val="0"/>
          <w:w w:val="100"/>
          <w:kern w:val="0"/>
          <w:sz w:val="32"/>
          <w:szCs w:val="32"/>
          <w:lang w:val="en-US" w:eastAsia="zh-CN" w:bidi="ar-SA"/>
        </w:rPr>
      </w:pPr>
      <w:r>
        <w:rPr>
          <w:rStyle w:val="7"/>
          <w:rFonts w:ascii="仿宋_GB2312" w:hAnsi="宋体" w:eastAsia="仿宋_GB2312"/>
          <w:b w:val="0"/>
          <w:i w:val="0"/>
          <w:caps w:val="0"/>
          <w:color w:val="000000"/>
          <w:spacing w:val="0"/>
          <w:w w:val="100"/>
          <w:kern w:val="0"/>
          <w:sz w:val="32"/>
          <w:szCs w:val="32"/>
          <w:lang w:val="en-US" w:eastAsia="zh-CN" w:bidi="ar-SA"/>
        </w:rPr>
        <w:t>自2017年4月1日起，按照《财政部、发展改革委关于清理规范一批行政事业性收费有关政策的通知》（财税【2017】20号）的要求，取消从业人员健康检查收费项目，相关费用由当地财政负担。</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5、实施周期</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2021年1月到2021年12月。</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6、年度预算安排</w:t>
      </w:r>
    </w:p>
    <w:p>
      <w:pPr>
        <w:snapToGrid/>
        <w:spacing w:before="0" w:beforeAutospacing="0" w:after="0" w:afterAutospacing="0" w:line="240" w:lineRule="auto"/>
        <w:ind w:left="64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2021年拟安排该项目一般公共预算</w:t>
      </w:r>
      <w:r>
        <w:rPr>
          <w:rStyle w:val="7"/>
          <w:rFonts w:ascii="仿宋_GB2312" w:hAnsi="宋体" w:eastAsia="仿宋_GB2312"/>
          <w:b w:val="0"/>
          <w:i w:val="0"/>
          <w:caps w:val="0"/>
          <w:color w:val="000000"/>
          <w:spacing w:val="0"/>
          <w:w w:val="100"/>
          <w:kern w:val="2"/>
          <w:sz w:val="32"/>
          <w:szCs w:val="32"/>
          <w:lang w:val="en-US" w:eastAsia="zh-CN" w:bidi="ar-SA"/>
        </w:rPr>
        <w:t>80万元。</w:t>
      </w:r>
    </w:p>
    <w:p>
      <w:pPr>
        <w:snapToGrid/>
        <w:spacing w:before="0" w:beforeAutospacing="0" w:after="0" w:afterAutospacing="0" w:line="240" w:lineRule="auto"/>
        <w:ind w:firstLine="643" w:firstLineChars="200"/>
        <w:jc w:val="both"/>
        <w:textAlignment w:val="baseline"/>
        <w:rPr>
          <w:rStyle w:val="7"/>
          <w:rFonts w:ascii="楷体_GB2312" w:eastAsia="楷体_GB2312"/>
          <w:b/>
          <w:i w:val="0"/>
          <w:caps w:val="0"/>
          <w:color w:val="000000"/>
          <w:spacing w:val="0"/>
          <w:w w:val="100"/>
          <w:kern w:val="2"/>
          <w:sz w:val="32"/>
          <w:szCs w:val="32"/>
          <w:lang w:val="en-US" w:eastAsia="zh-CN" w:bidi="ar-SA"/>
        </w:rPr>
      </w:pPr>
      <w:r>
        <w:rPr>
          <w:rStyle w:val="7"/>
          <w:rFonts w:ascii="楷体_GB2312" w:eastAsia="楷体_GB2312"/>
          <w:b/>
          <w:i w:val="0"/>
          <w:caps w:val="0"/>
          <w:color w:val="000000"/>
          <w:spacing w:val="0"/>
          <w:w w:val="100"/>
          <w:kern w:val="2"/>
          <w:sz w:val="32"/>
          <w:szCs w:val="32"/>
          <w:lang w:val="en-US" w:eastAsia="zh-CN" w:bidi="ar-SA"/>
        </w:rPr>
        <w:t xml:space="preserve">（二）机关（事业）运行经费预算 </w:t>
      </w:r>
    </w:p>
    <w:p>
      <w:pPr>
        <w:snapToGrid/>
        <w:spacing w:before="0" w:beforeAutospacing="0" w:after="0" w:afterAutospacing="0" w:line="240" w:lineRule="auto"/>
        <w:ind w:firstLine="800" w:firstLineChars="250"/>
        <w:jc w:val="both"/>
        <w:textAlignment w:val="baseline"/>
        <w:rPr>
          <w:rStyle w:val="7"/>
          <w:rFonts w:ascii="仿宋_GB2312" w:hAnsi="宋体" w:eastAsia="仿宋_GB2312"/>
          <w:b/>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机关（事业）运行经费是指行政机关（事业）使用一般公共预算财政拨款安排的基本支出中的公用经费支出。2021年度机关(事业)运行经费财政拨款预算77.2万元, 比2020年预算增加77.2万元，增长100%，主要原因是新增预算单位。</w:t>
      </w:r>
    </w:p>
    <w:p>
      <w:pPr>
        <w:snapToGrid/>
        <w:spacing w:before="0" w:beforeAutospacing="0" w:after="0" w:afterAutospacing="0" w:line="240" w:lineRule="auto"/>
        <w:ind w:firstLine="643" w:firstLineChars="200"/>
        <w:jc w:val="both"/>
        <w:textAlignment w:val="baseline"/>
        <w:rPr>
          <w:rStyle w:val="7"/>
          <w:rFonts w:ascii="楷体_GB2312" w:eastAsia="楷体_GB2312"/>
          <w:b/>
          <w:i w:val="0"/>
          <w:caps w:val="0"/>
          <w:color w:val="000000"/>
          <w:spacing w:val="0"/>
          <w:w w:val="100"/>
          <w:kern w:val="2"/>
          <w:sz w:val="32"/>
          <w:szCs w:val="32"/>
          <w:lang w:val="en-US" w:eastAsia="zh-CN" w:bidi="ar-SA"/>
        </w:rPr>
      </w:pPr>
      <w:r>
        <w:rPr>
          <w:rStyle w:val="7"/>
          <w:rFonts w:ascii="楷体_GB2312" w:eastAsia="楷体_GB2312"/>
          <w:b/>
          <w:i w:val="0"/>
          <w:caps w:val="0"/>
          <w:color w:val="000000"/>
          <w:spacing w:val="0"/>
          <w:w w:val="100"/>
          <w:kern w:val="2"/>
          <w:sz w:val="32"/>
          <w:szCs w:val="32"/>
          <w:lang w:val="en-US" w:eastAsia="zh-CN" w:bidi="ar-SA"/>
        </w:rPr>
        <w:t xml:space="preserve">（三）政府采购情况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 xml:space="preserve">2021年度本单位政府采购预算0万元，其中：货物类预算0万元、服务类预算0万元、工程类预算0万元。 </w:t>
      </w:r>
    </w:p>
    <w:p>
      <w:pPr>
        <w:snapToGrid/>
        <w:spacing w:before="0" w:beforeAutospacing="0" w:after="0" w:afterAutospacing="0" w:line="240" w:lineRule="auto"/>
        <w:ind w:firstLine="643" w:firstLineChars="200"/>
        <w:jc w:val="both"/>
        <w:textAlignment w:val="baseline"/>
        <w:rPr>
          <w:rStyle w:val="7"/>
          <w:rFonts w:ascii="楷体_GB2312" w:eastAsia="楷体_GB2312"/>
          <w:b/>
          <w:i w:val="0"/>
          <w:caps w:val="0"/>
          <w:color w:val="000000"/>
          <w:spacing w:val="0"/>
          <w:w w:val="100"/>
          <w:kern w:val="2"/>
          <w:sz w:val="32"/>
          <w:szCs w:val="32"/>
          <w:lang w:val="en-US" w:eastAsia="zh-CN" w:bidi="ar-SA"/>
        </w:rPr>
      </w:pPr>
      <w:r>
        <w:rPr>
          <w:rStyle w:val="7"/>
          <w:rFonts w:ascii="楷体_GB2312" w:eastAsia="楷体_GB2312"/>
          <w:b/>
          <w:i w:val="0"/>
          <w:caps w:val="0"/>
          <w:color w:val="000000"/>
          <w:spacing w:val="0"/>
          <w:w w:val="100"/>
          <w:kern w:val="2"/>
          <w:sz w:val="32"/>
          <w:szCs w:val="32"/>
          <w:lang w:val="en-US" w:eastAsia="zh-CN" w:bidi="ar-SA"/>
        </w:rPr>
        <w:t xml:space="preserve">（四）预算绩效情况 </w:t>
      </w:r>
    </w:p>
    <w:p>
      <w:pPr>
        <w:snapToGrid/>
        <w:spacing w:before="0" w:beforeAutospacing="0" w:after="0" w:afterAutospacing="0" w:line="240" w:lineRule="auto"/>
        <w:ind w:firstLine="640" w:firstLineChars="200"/>
        <w:jc w:val="both"/>
        <w:textAlignment w:val="baseline"/>
        <w:rPr>
          <w:rStyle w:val="7"/>
          <w:rFonts w:ascii="仿宋_GB2312" w:eastAsia="仿宋_GB2312"/>
          <w:b w:val="0"/>
          <w:i w:val="0"/>
          <w:caps w:val="0"/>
          <w:color w:val="000000"/>
          <w:spacing w:val="0"/>
          <w:w w:val="100"/>
          <w:kern w:val="2"/>
          <w:sz w:val="32"/>
          <w:szCs w:val="32"/>
          <w:lang w:val="en-US" w:eastAsia="zh-CN" w:bidi="ar-SA"/>
        </w:rPr>
      </w:pPr>
      <w:r>
        <w:rPr>
          <w:rStyle w:val="7"/>
          <w:rFonts w:ascii="仿宋_GB2312" w:eastAsia="仿宋_GB2312"/>
          <w:b w:val="0"/>
          <w:i w:val="0"/>
          <w:caps w:val="0"/>
          <w:color w:val="000000"/>
          <w:spacing w:val="0"/>
          <w:w w:val="100"/>
          <w:kern w:val="2"/>
          <w:sz w:val="32"/>
          <w:szCs w:val="32"/>
          <w:lang w:val="en-US" w:eastAsia="zh-CN" w:bidi="ar-SA"/>
        </w:rPr>
        <w:t>2021年，按照“先有绩效，后有预算”原则，本单位共计编制绩效目标1个，预算金额125.2万元，占项目支出预算比重100%。</w:t>
      </w:r>
    </w:p>
    <w:p>
      <w:pPr>
        <w:snapToGrid/>
        <w:spacing w:before="0" w:beforeAutospacing="0" w:after="0" w:afterAutospacing="0" w:line="240" w:lineRule="auto"/>
        <w:ind w:firstLine="643" w:firstLineChars="200"/>
        <w:jc w:val="both"/>
        <w:textAlignment w:val="baseline"/>
        <w:rPr>
          <w:rStyle w:val="7"/>
          <w:rFonts w:ascii="楷体_GB2312" w:eastAsia="楷体_GB2312"/>
          <w:b/>
          <w:i w:val="0"/>
          <w:caps w:val="0"/>
          <w:color w:val="000000"/>
          <w:spacing w:val="0"/>
          <w:w w:val="100"/>
          <w:kern w:val="2"/>
          <w:sz w:val="32"/>
          <w:szCs w:val="32"/>
          <w:lang w:val="en-US" w:eastAsia="zh-CN" w:bidi="ar-SA"/>
        </w:rPr>
      </w:pPr>
      <w:r>
        <w:rPr>
          <w:rStyle w:val="7"/>
          <w:rFonts w:ascii="楷体_GB2312" w:eastAsia="楷体_GB2312"/>
          <w:b/>
          <w:i w:val="0"/>
          <w:caps w:val="0"/>
          <w:color w:val="000000"/>
          <w:spacing w:val="0"/>
          <w:w w:val="100"/>
          <w:kern w:val="2"/>
          <w:sz w:val="32"/>
          <w:szCs w:val="32"/>
          <w:lang w:val="en-US" w:eastAsia="zh-CN" w:bidi="ar-SA"/>
        </w:rPr>
        <w:t>（五）国有资产占有使用情况</w:t>
      </w:r>
    </w:p>
    <w:p>
      <w:pPr>
        <w:snapToGrid/>
        <w:spacing w:before="0" w:beforeAutospacing="0" w:after="0" w:afterAutospacing="0" w:line="240" w:lineRule="auto"/>
        <w:ind w:firstLine="645"/>
        <w:jc w:val="left"/>
        <w:textAlignment w:val="baseline"/>
        <w:rPr>
          <w:rStyle w:val="7"/>
          <w:rFonts w:eastAsia="仿宋_GB2312"/>
          <w:b w:val="0"/>
          <w:i w:val="0"/>
          <w:caps w:val="0"/>
          <w:color w:val="000000"/>
          <w:spacing w:val="0"/>
          <w:w w:val="100"/>
          <w:kern w:val="2"/>
          <w:sz w:val="32"/>
          <w:szCs w:val="32"/>
          <w:lang w:val="en-US" w:eastAsia="zh-CN" w:bidi="ar-SA"/>
        </w:rPr>
      </w:pPr>
      <w:r>
        <w:rPr>
          <w:rStyle w:val="7"/>
          <w:rFonts w:eastAsia="仿宋_GB2312"/>
          <w:b w:val="0"/>
          <w:i w:val="0"/>
          <w:caps w:val="0"/>
          <w:color w:val="000000"/>
          <w:spacing w:val="0"/>
          <w:w w:val="100"/>
          <w:kern w:val="2"/>
          <w:sz w:val="32"/>
          <w:szCs w:val="32"/>
          <w:lang w:val="en-US" w:eastAsia="zh-CN" w:bidi="ar-SA"/>
        </w:rPr>
        <w:t>截至2020年12月31日，本单位共有车辆</w:t>
      </w:r>
      <w:r>
        <w:rPr>
          <w:rStyle w:val="7"/>
          <w:rFonts w:ascii="仿宋_GB2312" w:eastAsia="仿宋_GB2312"/>
          <w:b w:val="0"/>
          <w:i w:val="0"/>
          <w:caps w:val="0"/>
          <w:color w:val="000000"/>
          <w:spacing w:val="0"/>
          <w:w w:val="100"/>
          <w:kern w:val="2"/>
          <w:sz w:val="32"/>
          <w:szCs w:val="32"/>
          <w:lang w:val="en-US" w:eastAsia="zh-CN" w:bidi="ar-SA"/>
        </w:rPr>
        <w:t>6</w:t>
      </w:r>
      <w:r>
        <w:rPr>
          <w:rStyle w:val="7"/>
          <w:rFonts w:eastAsia="仿宋_GB2312"/>
          <w:b w:val="0"/>
          <w:i w:val="0"/>
          <w:caps w:val="0"/>
          <w:color w:val="000000"/>
          <w:spacing w:val="0"/>
          <w:w w:val="100"/>
          <w:kern w:val="2"/>
          <w:sz w:val="32"/>
          <w:szCs w:val="32"/>
          <w:lang w:val="en-US" w:eastAsia="zh-CN" w:bidi="ar-SA"/>
        </w:rPr>
        <w:t>辆，其中，</w:t>
      </w:r>
      <w:r>
        <w:rPr>
          <w:rStyle w:val="7"/>
          <w:rFonts w:ascii="仿宋_GB2312" w:hAnsi="宋体" w:eastAsia="仿宋_GB2312"/>
          <w:b w:val="0"/>
          <w:i w:val="0"/>
          <w:caps w:val="0"/>
          <w:color w:val="000000"/>
          <w:spacing w:val="0"/>
          <w:w w:val="100"/>
          <w:kern w:val="0"/>
          <w:sz w:val="32"/>
          <w:szCs w:val="32"/>
          <w:lang w:val="en-US" w:eastAsia="zh-CN" w:bidi="ar-SA"/>
        </w:rPr>
        <w:t>副部（省）级及以上领导用车</w:t>
      </w:r>
      <w:r>
        <w:rPr>
          <w:rStyle w:val="7"/>
          <w:rFonts w:ascii="仿宋_GB2312" w:eastAsia="仿宋_GB2312"/>
          <w:b w:val="0"/>
          <w:i w:val="0"/>
          <w:caps w:val="0"/>
          <w:color w:val="000000"/>
          <w:spacing w:val="0"/>
          <w:w w:val="100"/>
          <w:kern w:val="2"/>
          <w:sz w:val="32"/>
          <w:szCs w:val="32"/>
          <w:lang w:val="en-US" w:eastAsia="zh-CN" w:bidi="ar-SA"/>
        </w:rPr>
        <w:t>0</w:t>
      </w:r>
      <w:r>
        <w:rPr>
          <w:rStyle w:val="7"/>
          <w:rFonts w:eastAsia="仿宋_GB2312"/>
          <w:b w:val="0"/>
          <w:i w:val="0"/>
          <w:caps w:val="0"/>
          <w:color w:val="000000"/>
          <w:spacing w:val="0"/>
          <w:w w:val="100"/>
          <w:kern w:val="2"/>
          <w:sz w:val="32"/>
          <w:szCs w:val="32"/>
          <w:lang w:val="en-US" w:eastAsia="zh-CN" w:bidi="ar-SA"/>
        </w:rPr>
        <w:t>辆</w:t>
      </w:r>
      <w:r>
        <w:rPr>
          <w:rStyle w:val="7"/>
          <w:rFonts w:ascii="仿宋_GB2312" w:hAnsi="宋体" w:eastAsia="仿宋_GB2312"/>
          <w:b w:val="0"/>
          <w:i w:val="0"/>
          <w:caps w:val="0"/>
          <w:color w:val="000000"/>
          <w:spacing w:val="0"/>
          <w:w w:val="100"/>
          <w:kern w:val="0"/>
          <w:sz w:val="32"/>
          <w:szCs w:val="32"/>
          <w:lang w:val="en-US" w:eastAsia="zh-CN" w:bidi="ar-SA"/>
        </w:rPr>
        <w:t>，主要领导干部用车</w:t>
      </w:r>
      <w:r>
        <w:rPr>
          <w:rStyle w:val="7"/>
          <w:rFonts w:ascii="仿宋_GB2312" w:eastAsia="仿宋_GB2312"/>
          <w:b w:val="0"/>
          <w:i w:val="0"/>
          <w:caps w:val="0"/>
          <w:color w:val="000000"/>
          <w:spacing w:val="0"/>
          <w:w w:val="100"/>
          <w:kern w:val="2"/>
          <w:sz w:val="32"/>
          <w:szCs w:val="32"/>
          <w:lang w:val="en-US" w:eastAsia="zh-CN" w:bidi="ar-SA"/>
        </w:rPr>
        <w:t>0</w:t>
      </w:r>
      <w:r>
        <w:rPr>
          <w:rStyle w:val="7"/>
          <w:rFonts w:eastAsia="仿宋_GB2312"/>
          <w:b w:val="0"/>
          <w:i w:val="0"/>
          <w:caps w:val="0"/>
          <w:color w:val="000000"/>
          <w:spacing w:val="0"/>
          <w:w w:val="100"/>
          <w:kern w:val="2"/>
          <w:sz w:val="32"/>
          <w:szCs w:val="32"/>
          <w:lang w:val="en-US" w:eastAsia="zh-CN" w:bidi="ar-SA"/>
        </w:rPr>
        <w:t>辆</w:t>
      </w:r>
      <w:r>
        <w:rPr>
          <w:rStyle w:val="7"/>
          <w:rFonts w:ascii="仿宋_GB2312" w:hAnsi="宋体" w:eastAsia="仿宋_GB2312"/>
          <w:b w:val="0"/>
          <w:i w:val="0"/>
          <w:caps w:val="0"/>
          <w:color w:val="000000"/>
          <w:spacing w:val="0"/>
          <w:w w:val="100"/>
          <w:kern w:val="0"/>
          <w:sz w:val="32"/>
          <w:szCs w:val="32"/>
          <w:lang w:val="en-US" w:eastAsia="zh-CN" w:bidi="ar-SA"/>
        </w:rPr>
        <w:t>，机要通信用车</w:t>
      </w:r>
      <w:r>
        <w:rPr>
          <w:rStyle w:val="7"/>
          <w:rFonts w:ascii="仿宋_GB2312" w:eastAsia="仿宋_GB2312"/>
          <w:b w:val="0"/>
          <w:i w:val="0"/>
          <w:caps w:val="0"/>
          <w:color w:val="000000"/>
          <w:spacing w:val="0"/>
          <w:w w:val="100"/>
          <w:kern w:val="2"/>
          <w:sz w:val="32"/>
          <w:szCs w:val="32"/>
          <w:lang w:val="en-US" w:eastAsia="zh-CN" w:bidi="ar-SA"/>
        </w:rPr>
        <w:t>0</w:t>
      </w:r>
      <w:r>
        <w:rPr>
          <w:rStyle w:val="7"/>
          <w:rFonts w:eastAsia="仿宋_GB2312"/>
          <w:b w:val="0"/>
          <w:i w:val="0"/>
          <w:caps w:val="0"/>
          <w:color w:val="000000"/>
          <w:spacing w:val="0"/>
          <w:w w:val="100"/>
          <w:kern w:val="2"/>
          <w:sz w:val="32"/>
          <w:szCs w:val="32"/>
          <w:lang w:val="en-US" w:eastAsia="zh-CN" w:bidi="ar-SA"/>
        </w:rPr>
        <w:t>辆，</w:t>
      </w:r>
      <w:r>
        <w:rPr>
          <w:rStyle w:val="7"/>
          <w:rFonts w:ascii="仿宋_GB2312" w:hAnsi="宋体" w:eastAsia="仿宋_GB2312"/>
          <w:b w:val="0"/>
          <w:i w:val="0"/>
          <w:caps w:val="0"/>
          <w:color w:val="000000"/>
          <w:spacing w:val="0"/>
          <w:w w:val="100"/>
          <w:kern w:val="0"/>
          <w:sz w:val="32"/>
          <w:szCs w:val="32"/>
          <w:lang w:val="en-US" w:eastAsia="zh-CN" w:bidi="ar-SA"/>
        </w:rPr>
        <w:t>应急保障用车</w:t>
      </w:r>
      <w:r>
        <w:rPr>
          <w:rStyle w:val="7"/>
          <w:rFonts w:ascii="仿宋_GB2312" w:eastAsia="仿宋_GB2312"/>
          <w:b w:val="0"/>
          <w:i w:val="0"/>
          <w:caps w:val="0"/>
          <w:color w:val="000000"/>
          <w:spacing w:val="0"/>
          <w:w w:val="100"/>
          <w:kern w:val="2"/>
          <w:sz w:val="32"/>
          <w:szCs w:val="32"/>
          <w:lang w:val="en-US" w:eastAsia="zh-CN" w:bidi="ar-SA"/>
        </w:rPr>
        <w:t>3</w:t>
      </w:r>
      <w:r>
        <w:rPr>
          <w:rStyle w:val="7"/>
          <w:rFonts w:eastAsia="仿宋_GB2312"/>
          <w:b w:val="0"/>
          <w:i w:val="0"/>
          <w:caps w:val="0"/>
          <w:color w:val="000000"/>
          <w:spacing w:val="0"/>
          <w:w w:val="100"/>
          <w:kern w:val="2"/>
          <w:sz w:val="32"/>
          <w:szCs w:val="32"/>
          <w:lang w:val="en-US" w:eastAsia="zh-CN" w:bidi="ar-SA"/>
        </w:rPr>
        <w:t>辆</w:t>
      </w:r>
      <w:r>
        <w:rPr>
          <w:rStyle w:val="7"/>
          <w:rFonts w:ascii="仿宋_GB2312" w:eastAsia="仿宋_GB2312"/>
          <w:b w:val="0"/>
          <w:i w:val="0"/>
          <w:caps w:val="0"/>
          <w:color w:val="000000"/>
          <w:spacing w:val="0"/>
          <w:w w:val="100"/>
          <w:kern w:val="2"/>
          <w:sz w:val="32"/>
          <w:szCs w:val="32"/>
          <w:lang w:val="en-US" w:eastAsia="zh-CN" w:bidi="ar-SA"/>
        </w:rPr>
        <w:t>, 执法执勤用车0</w:t>
      </w:r>
      <w:r>
        <w:rPr>
          <w:rStyle w:val="7"/>
          <w:rFonts w:eastAsia="仿宋_GB2312"/>
          <w:b w:val="0"/>
          <w:i w:val="0"/>
          <w:caps w:val="0"/>
          <w:color w:val="000000"/>
          <w:spacing w:val="0"/>
          <w:w w:val="100"/>
          <w:kern w:val="2"/>
          <w:sz w:val="32"/>
          <w:szCs w:val="32"/>
          <w:lang w:val="en-US" w:eastAsia="zh-CN" w:bidi="ar-SA"/>
        </w:rPr>
        <w:t>辆</w:t>
      </w:r>
      <w:r>
        <w:rPr>
          <w:rStyle w:val="7"/>
          <w:rFonts w:ascii="仿宋_GB2312" w:eastAsia="仿宋_GB2312"/>
          <w:b w:val="0"/>
          <w:i w:val="0"/>
          <w:caps w:val="0"/>
          <w:color w:val="000000"/>
          <w:spacing w:val="0"/>
          <w:w w:val="100"/>
          <w:kern w:val="2"/>
          <w:sz w:val="32"/>
          <w:szCs w:val="32"/>
          <w:lang w:val="en-US" w:eastAsia="zh-CN" w:bidi="ar-SA"/>
        </w:rPr>
        <w:t>，特种专业技术用车2</w:t>
      </w:r>
      <w:r>
        <w:rPr>
          <w:rStyle w:val="7"/>
          <w:rFonts w:eastAsia="仿宋_GB2312"/>
          <w:b w:val="0"/>
          <w:i w:val="0"/>
          <w:caps w:val="0"/>
          <w:color w:val="000000"/>
          <w:spacing w:val="0"/>
          <w:w w:val="100"/>
          <w:kern w:val="2"/>
          <w:sz w:val="32"/>
          <w:szCs w:val="32"/>
          <w:lang w:val="en-US" w:eastAsia="zh-CN" w:bidi="ar-SA"/>
        </w:rPr>
        <w:t>辆</w:t>
      </w:r>
      <w:r>
        <w:rPr>
          <w:rStyle w:val="7"/>
          <w:rFonts w:ascii="仿宋_GB2312" w:eastAsia="仿宋_GB2312"/>
          <w:b w:val="0"/>
          <w:i w:val="0"/>
          <w:caps w:val="0"/>
          <w:color w:val="000000"/>
          <w:spacing w:val="0"/>
          <w:w w:val="100"/>
          <w:kern w:val="2"/>
          <w:sz w:val="32"/>
          <w:szCs w:val="32"/>
          <w:lang w:val="en-US" w:eastAsia="zh-CN" w:bidi="ar-SA"/>
        </w:rPr>
        <w:t>，离退休干部用车0</w:t>
      </w:r>
      <w:r>
        <w:rPr>
          <w:rStyle w:val="7"/>
          <w:rFonts w:eastAsia="仿宋_GB2312"/>
          <w:b w:val="0"/>
          <w:i w:val="0"/>
          <w:caps w:val="0"/>
          <w:color w:val="000000"/>
          <w:spacing w:val="0"/>
          <w:w w:val="100"/>
          <w:kern w:val="2"/>
          <w:sz w:val="32"/>
          <w:szCs w:val="32"/>
          <w:lang w:val="en-US" w:eastAsia="zh-CN" w:bidi="ar-SA"/>
        </w:rPr>
        <w:t>辆，</w:t>
      </w:r>
      <w:r>
        <w:rPr>
          <w:rStyle w:val="7"/>
          <w:rFonts w:ascii="仿宋_GB2312" w:eastAsia="仿宋_GB2312"/>
          <w:b w:val="0"/>
          <w:i w:val="0"/>
          <w:caps w:val="0"/>
          <w:color w:val="000000"/>
          <w:spacing w:val="0"/>
          <w:w w:val="100"/>
          <w:kern w:val="2"/>
          <w:sz w:val="32"/>
          <w:szCs w:val="32"/>
          <w:lang w:val="en-US" w:eastAsia="zh-CN" w:bidi="ar-SA"/>
        </w:rPr>
        <w:t>其他用车1</w:t>
      </w:r>
      <w:r>
        <w:rPr>
          <w:rStyle w:val="7"/>
          <w:rFonts w:eastAsia="仿宋_GB2312"/>
          <w:b w:val="0"/>
          <w:i w:val="0"/>
          <w:caps w:val="0"/>
          <w:color w:val="000000"/>
          <w:spacing w:val="0"/>
          <w:w w:val="100"/>
          <w:kern w:val="2"/>
          <w:sz w:val="32"/>
          <w:szCs w:val="32"/>
          <w:lang w:val="en-US" w:eastAsia="zh-CN" w:bidi="ar-SA"/>
        </w:rPr>
        <w:t>辆，</w:t>
      </w:r>
      <w:r>
        <w:rPr>
          <w:rStyle w:val="7"/>
          <w:rFonts w:ascii="仿宋_GB2312" w:hAnsi="宋体" w:eastAsia="仿宋_GB2312"/>
          <w:b w:val="0"/>
          <w:i w:val="0"/>
          <w:caps w:val="0"/>
          <w:color w:val="000000"/>
          <w:spacing w:val="0"/>
          <w:w w:val="100"/>
          <w:kern w:val="0"/>
          <w:sz w:val="32"/>
          <w:szCs w:val="32"/>
          <w:lang w:val="en-US" w:eastAsia="zh-CN" w:bidi="ar-SA"/>
        </w:rPr>
        <w:t>其他用车主要是业务督导。</w:t>
      </w:r>
      <w:r>
        <w:rPr>
          <w:rStyle w:val="7"/>
          <w:rFonts w:eastAsia="仿宋_GB2312"/>
          <w:b w:val="0"/>
          <w:i w:val="0"/>
          <w:caps w:val="0"/>
          <w:color w:val="000000"/>
          <w:spacing w:val="0"/>
          <w:w w:val="100"/>
          <w:kern w:val="2"/>
          <w:sz w:val="32"/>
          <w:szCs w:val="32"/>
          <w:lang w:val="en-US" w:eastAsia="zh-CN" w:bidi="ar-SA"/>
        </w:rPr>
        <w:t>单位价值50万元（含）以上通用设备</w:t>
      </w:r>
      <w:r>
        <w:rPr>
          <w:rStyle w:val="7"/>
          <w:rFonts w:ascii="仿宋_GB2312" w:eastAsia="仿宋_GB2312"/>
          <w:b w:val="0"/>
          <w:i w:val="0"/>
          <w:caps w:val="0"/>
          <w:color w:val="000000"/>
          <w:spacing w:val="0"/>
          <w:w w:val="100"/>
          <w:kern w:val="2"/>
          <w:sz w:val="32"/>
          <w:szCs w:val="32"/>
          <w:lang w:val="en-US" w:eastAsia="zh-CN" w:bidi="ar-SA"/>
        </w:rPr>
        <w:t>0</w:t>
      </w:r>
      <w:r>
        <w:rPr>
          <w:rStyle w:val="7"/>
          <w:rFonts w:eastAsia="仿宋_GB2312"/>
          <w:b w:val="0"/>
          <w:i w:val="0"/>
          <w:caps w:val="0"/>
          <w:color w:val="000000"/>
          <w:spacing w:val="0"/>
          <w:w w:val="100"/>
          <w:kern w:val="2"/>
          <w:sz w:val="32"/>
          <w:szCs w:val="32"/>
          <w:lang w:val="en-US" w:eastAsia="zh-CN" w:bidi="ar-SA"/>
        </w:rPr>
        <w:t>台（套），单位价值100万元以上专用设备</w:t>
      </w:r>
      <w:r>
        <w:rPr>
          <w:rStyle w:val="7"/>
          <w:rFonts w:ascii="仿宋_GB2312" w:eastAsia="仿宋_GB2312"/>
          <w:b w:val="0"/>
          <w:i w:val="0"/>
          <w:caps w:val="0"/>
          <w:color w:val="000000"/>
          <w:spacing w:val="0"/>
          <w:w w:val="100"/>
          <w:kern w:val="2"/>
          <w:sz w:val="32"/>
          <w:szCs w:val="32"/>
          <w:lang w:val="en-US" w:eastAsia="zh-CN" w:bidi="ar-SA"/>
        </w:rPr>
        <w:t>0</w:t>
      </w:r>
      <w:r>
        <w:rPr>
          <w:rStyle w:val="7"/>
          <w:rFonts w:eastAsia="仿宋_GB2312"/>
          <w:b w:val="0"/>
          <w:i w:val="0"/>
          <w:caps w:val="0"/>
          <w:color w:val="000000"/>
          <w:spacing w:val="0"/>
          <w:w w:val="100"/>
          <w:kern w:val="2"/>
          <w:sz w:val="32"/>
          <w:szCs w:val="32"/>
          <w:lang w:val="en-US" w:eastAsia="zh-CN" w:bidi="ar-SA"/>
        </w:rPr>
        <w:t>台（套）。</w:t>
      </w:r>
    </w:p>
    <w:p>
      <w:pPr>
        <w:snapToGrid/>
        <w:spacing w:before="0" w:beforeAutospacing="0" w:after="0" w:afterAutospacing="0" w:line="240" w:lineRule="auto"/>
        <w:jc w:val="both"/>
        <w:textAlignment w:val="baseline"/>
        <w:rPr>
          <w:rStyle w:val="7"/>
          <w:rFonts w:ascii="楷体_GB2312" w:eastAsia="楷体_GB2312"/>
          <w:b w:val="0"/>
          <w:i w:val="0"/>
          <w:caps w:val="0"/>
          <w:color w:val="000000"/>
          <w:spacing w:val="0"/>
          <w:w w:val="100"/>
          <w:kern w:val="2"/>
          <w:sz w:val="44"/>
          <w:szCs w:val="44"/>
          <w:lang w:val="en-US" w:eastAsia="zh-CN" w:bidi="ar-SA"/>
        </w:rPr>
      </w:pPr>
    </w:p>
    <w:p>
      <w:pPr>
        <w:snapToGrid/>
        <w:spacing w:before="0" w:beforeAutospacing="0" w:after="0" w:afterAutospacing="0" w:line="240" w:lineRule="auto"/>
        <w:ind w:firstLine="3740" w:firstLineChars="850"/>
        <w:jc w:val="both"/>
        <w:textAlignment w:val="baseline"/>
        <w:rPr>
          <w:rStyle w:val="7"/>
          <w:rFonts w:ascii="楷体_GB2312" w:eastAsia="楷体_GB2312"/>
          <w:b w:val="0"/>
          <w:i w:val="0"/>
          <w:caps w:val="0"/>
          <w:color w:val="000000"/>
          <w:spacing w:val="0"/>
          <w:w w:val="100"/>
          <w:kern w:val="2"/>
          <w:sz w:val="44"/>
          <w:szCs w:val="44"/>
          <w:lang w:val="en-US" w:eastAsia="zh-CN" w:bidi="ar-SA"/>
        </w:rPr>
      </w:pPr>
      <w:r>
        <w:rPr>
          <w:rStyle w:val="7"/>
          <w:rFonts w:ascii="楷体_GB2312" w:eastAsia="楷体_GB2312"/>
          <w:b w:val="0"/>
          <w:i w:val="0"/>
          <w:caps w:val="0"/>
          <w:color w:val="000000"/>
          <w:spacing w:val="0"/>
          <w:w w:val="100"/>
          <w:kern w:val="2"/>
          <w:sz w:val="44"/>
          <w:szCs w:val="44"/>
          <w:lang w:val="en-US" w:eastAsia="zh-CN" w:bidi="ar-SA"/>
        </w:rPr>
        <w:t xml:space="preserve">第四部分  </w:t>
      </w:r>
    </w:p>
    <w:p>
      <w:pPr>
        <w:snapToGrid/>
        <w:spacing w:before="0" w:beforeAutospacing="0" w:after="0" w:afterAutospacing="0" w:line="240" w:lineRule="auto"/>
        <w:jc w:val="center"/>
        <w:textAlignment w:val="baseline"/>
        <w:rPr>
          <w:rStyle w:val="7"/>
          <w:rFonts w:ascii="楷体_GB2312" w:eastAsia="楷体_GB2312"/>
          <w:b w:val="0"/>
          <w:i w:val="0"/>
          <w:caps w:val="0"/>
          <w:color w:val="000000"/>
          <w:spacing w:val="0"/>
          <w:w w:val="100"/>
          <w:kern w:val="2"/>
          <w:sz w:val="44"/>
          <w:szCs w:val="44"/>
          <w:lang w:val="en-US" w:eastAsia="zh-CN" w:bidi="ar-SA"/>
        </w:rPr>
      </w:pPr>
      <w:r>
        <w:rPr>
          <w:rStyle w:val="7"/>
          <w:rFonts w:ascii="楷体_GB2312" w:eastAsia="楷体_GB2312"/>
          <w:b w:val="0"/>
          <w:i w:val="0"/>
          <w:caps w:val="0"/>
          <w:color w:val="000000"/>
          <w:spacing w:val="0"/>
          <w:w w:val="100"/>
          <w:kern w:val="2"/>
          <w:sz w:val="44"/>
          <w:szCs w:val="44"/>
          <w:lang w:val="en-US" w:eastAsia="zh-CN" w:bidi="ar-SA"/>
        </w:rPr>
        <w:t>名词解释</w:t>
      </w:r>
    </w:p>
    <w:p>
      <w:pPr>
        <w:snapToGrid/>
        <w:spacing w:before="0" w:beforeAutospacing="0" w:after="0" w:afterAutospacing="0" w:line="240" w:lineRule="auto"/>
        <w:jc w:val="center"/>
        <w:textAlignment w:val="baseline"/>
        <w:rPr>
          <w:rStyle w:val="7"/>
          <w:rFonts w:ascii="楷体_GB2312" w:eastAsia="楷体_GB2312"/>
          <w:b w:val="0"/>
          <w:i w:val="0"/>
          <w:caps w:val="0"/>
          <w:color w:val="000000"/>
          <w:spacing w:val="0"/>
          <w:w w:val="100"/>
          <w:kern w:val="2"/>
          <w:sz w:val="44"/>
          <w:szCs w:val="44"/>
          <w:lang w:val="en-US" w:eastAsia="zh-CN" w:bidi="ar-SA"/>
        </w:rPr>
      </w:pPr>
    </w:p>
    <w:p>
      <w:pPr>
        <w:widowControl/>
        <w:numPr>
          <w:ilvl w:val="0"/>
          <w:numId w:val="2"/>
        </w:numPr>
        <w:snapToGrid/>
        <w:spacing w:before="0" w:beforeAutospacing="0" w:after="0" w:afterAutospacing="0" w:line="240" w:lineRule="auto"/>
        <w:ind w:left="1000" w:hanging="360"/>
        <w:jc w:val="left"/>
        <w:textAlignment w:val="baseline"/>
        <w:rPr>
          <w:rStyle w:val="7"/>
          <w:rFonts w:ascii="仿宋_GB2312" w:hAnsi="Arial" w:eastAsia="仿宋_GB2312"/>
          <w:b w:val="0"/>
          <w:i w:val="0"/>
          <w:caps w:val="0"/>
          <w:color w:val="000000"/>
          <w:spacing w:val="0"/>
          <w:w w:val="100"/>
          <w:kern w:val="0"/>
          <w:sz w:val="32"/>
          <w:szCs w:val="32"/>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财政拨款收入：</w:t>
      </w:r>
      <w:r>
        <w:rPr>
          <w:rStyle w:val="7"/>
          <w:rFonts w:ascii="仿宋_GB2312" w:hAnsi="Arial" w:eastAsia="仿宋_GB2312"/>
          <w:b w:val="0"/>
          <w:i w:val="0"/>
          <w:caps w:val="0"/>
          <w:color w:val="000000"/>
          <w:spacing w:val="0"/>
          <w:w w:val="100"/>
          <w:kern w:val="0"/>
          <w:sz w:val="32"/>
          <w:szCs w:val="32"/>
          <w:lang w:val="en-US" w:eastAsia="zh-CN" w:bidi="ar-SA"/>
        </w:rPr>
        <w:t>指市财政当年拨付的资金。</w:t>
      </w:r>
    </w:p>
    <w:p>
      <w:pPr>
        <w:snapToGrid/>
        <w:spacing w:before="0" w:beforeAutospacing="0" w:after="0" w:afterAutospacing="0" w:line="240" w:lineRule="auto"/>
        <w:ind w:firstLine="643" w:firstLineChars="200"/>
        <w:jc w:val="both"/>
        <w:textAlignment w:val="baseline"/>
        <w:rPr>
          <w:rStyle w:val="7"/>
          <w:rFonts w:ascii="仿宋_GB2312" w:hAnsi="Arial" w:eastAsia="仿宋_GB2312"/>
          <w:b w:val="0"/>
          <w:i w:val="0"/>
          <w:caps w:val="0"/>
          <w:color w:val="000000"/>
          <w:spacing w:val="0"/>
          <w:w w:val="100"/>
          <w:kern w:val="0"/>
          <w:sz w:val="32"/>
          <w:szCs w:val="32"/>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2.事业收入：</w:t>
      </w:r>
      <w:r>
        <w:rPr>
          <w:rStyle w:val="7"/>
          <w:rFonts w:ascii="仿宋_GB2312" w:hAnsi="Arial" w:eastAsia="仿宋_GB2312"/>
          <w:b w:val="0"/>
          <w:i w:val="0"/>
          <w:caps w:val="0"/>
          <w:color w:val="000000"/>
          <w:spacing w:val="0"/>
          <w:w w:val="100"/>
          <w:kern w:val="0"/>
          <w:sz w:val="32"/>
          <w:szCs w:val="32"/>
          <w:lang w:val="en-US" w:eastAsia="zh-CN" w:bidi="ar-SA"/>
        </w:rPr>
        <w:t>指事业单位开展专业业务活动及其辅助活动取得的收入。</w:t>
      </w:r>
    </w:p>
    <w:p>
      <w:pPr>
        <w:snapToGrid/>
        <w:spacing w:before="0" w:beforeAutospacing="0" w:after="0" w:afterAutospacing="0" w:line="240" w:lineRule="auto"/>
        <w:ind w:firstLine="643" w:firstLineChars="200"/>
        <w:jc w:val="both"/>
        <w:textAlignment w:val="baseline"/>
        <w:rPr>
          <w:rStyle w:val="7"/>
          <w:rFonts w:ascii="仿宋_GB2312" w:hAnsi="Arial" w:eastAsia="仿宋_GB2312"/>
          <w:b w:val="0"/>
          <w:i w:val="0"/>
          <w:caps w:val="0"/>
          <w:color w:val="000000"/>
          <w:spacing w:val="0"/>
          <w:w w:val="100"/>
          <w:kern w:val="0"/>
          <w:sz w:val="32"/>
          <w:szCs w:val="32"/>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3.经营收入：</w:t>
      </w:r>
      <w:r>
        <w:rPr>
          <w:rStyle w:val="7"/>
          <w:rFonts w:ascii="仿宋_GB2312" w:hAnsi="Arial" w:eastAsia="仿宋_GB2312"/>
          <w:b w:val="0"/>
          <w:i w:val="0"/>
          <w:caps w:val="0"/>
          <w:color w:val="000000"/>
          <w:spacing w:val="0"/>
          <w:w w:val="100"/>
          <w:kern w:val="0"/>
          <w:sz w:val="32"/>
          <w:szCs w:val="32"/>
          <w:lang w:val="en-US" w:eastAsia="zh-CN" w:bidi="ar-SA"/>
        </w:rPr>
        <w:t>指事业单位在专业业务活动及其辅助活动之外开展非独立核算经营活动取得的收入。</w:t>
      </w:r>
    </w:p>
    <w:p>
      <w:pPr>
        <w:snapToGrid/>
        <w:spacing w:before="0" w:beforeAutospacing="0" w:after="0" w:afterAutospacing="0" w:line="240" w:lineRule="auto"/>
        <w:ind w:firstLine="643" w:firstLineChars="200"/>
        <w:jc w:val="both"/>
        <w:textAlignment w:val="baseline"/>
        <w:rPr>
          <w:rStyle w:val="7"/>
          <w:rFonts w:ascii="仿宋_GB2312" w:hAnsi="Arial" w:eastAsia="仿宋_GB2312"/>
          <w:b w:val="0"/>
          <w:i w:val="0"/>
          <w:caps w:val="0"/>
          <w:color w:val="000000"/>
          <w:spacing w:val="0"/>
          <w:w w:val="100"/>
          <w:kern w:val="0"/>
          <w:sz w:val="32"/>
          <w:szCs w:val="32"/>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4.其他收入：</w:t>
      </w:r>
      <w:r>
        <w:rPr>
          <w:rStyle w:val="7"/>
          <w:rFonts w:ascii="仿宋_GB2312" w:hAnsi="Arial" w:eastAsia="仿宋_GB2312"/>
          <w:b w:val="0"/>
          <w:i w:val="0"/>
          <w:caps w:val="0"/>
          <w:color w:val="000000"/>
          <w:spacing w:val="0"/>
          <w:w w:val="100"/>
          <w:kern w:val="0"/>
          <w:sz w:val="32"/>
          <w:szCs w:val="32"/>
          <w:lang w:val="en-US" w:eastAsia="zh-CN" w:bidi="ar-SA"/>
        </w:rPr>
        <w:t>指单位取得的除“财政拨款收入”、“事业收入”、“经营收入”等以外的收入。</w:t>
      </w:r>
    </w:p>
    <w:p>
      <w:pPr>
        <w:widowControl/>
        <w:snapToGrid/>
        <w:spacing w:before="0" w:beforeAutospacing="0" w:after="0" w:afterAutospacing="0" w:line="240" w:lineRule="auto"/>
        <w:ind w:firstLine="640"/>
        <w:jc w:val="left"/>
        <w:textAlignment w:val="baseline"/>
        <w:rPr>
          <w:rStyle w:val="7"/>
          <w:rFonts w:ascii="仿宋_GB2312" w:hAnsi="Arial" w:eastAsia="仿宋_GB2312"/>
          <w:b w:val="0"/>
          <w:i w:val="0"/>
          <w:caps w:val="0"/>
          <w:color w:val="000000"/>
          <w:spacing w:val="0"/>
          <w:w w:val="100"/>
          <w:kern w:val="0"/>
          <w:sz w:val="18"/>
          <w:szCs w:val="18"/>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5.基本支出：</w:t>
      </w:r>
      <w:r>
        <w:rPr>
          <w:rStyle w:val="7"/>
          <w:rFonts w:ascii="仿宋_GB2312" w:hAnsi="Arial" w:eastAsia="仿宋_GB2312"/>
          <w:b w:val="0"/>
          <w:i w:val="0"/>
          <w:caps w:val="0"/>
          <w:color w:val="000000"/>
          <w:spacing w:val="0"/>
          <w:w w:val="100"/>
          <w:kern w:val="0"/>
          <w:sz w:val="32"/>
          <w:szCs w:val="32"/>
          <w:lang w:val="en-US" w:eastAsia="zh-CN" w:bidi="ar-SA"/>
        </w:rPr>
        <w:t>指为保障机构正常运转、完成日常工作任务而发生的人员支出和公用支出。</w:t>
      </w:r>
    </w:p>
    <w:p>
      <w:pPr>
        <w:widowControl/>
        <w:snapToGrid/>
        <w:spacing w:before="0" w:beforeAutospacing="0" w:after="0" w:afterAutospacing="0" w:line="240" w:lineRule="auto"/>
        <w:ind w:firstLine="640"/>
        <w:jc w:val="left"/>
        <w:textAlignment w:val="baseline"/>
        <w:rPr>
          <w:rStyle w:val="7"/>
          <w:rFonts w:ascii="仿宋_GB2312" w:hAnsi="Arial" w:eastAsia="仿宋_GB2312"/>
          <w:b w:val="0"/>
          <w:i w:val="0"/>
          <w:caps w:val="0"/>
          <w:color w:val="000000"/>
          <w:spacing w:val="0"/>
          <w:w w:val="100"/>
          <w:kern w:val="0"/>
          <w:sz w:val="18"/>
          <w:szCs w:val="18"/>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6.项目支出：</w:t>
      </w:r>
      <w:r>
        <w:rPr>
          <w:rStyle w:val="7"/>
          <w:rFonts w:ascii="仿宋_GB2312" w:hAnsi="Arial" w:eastAsia="仿宋_GB2312"/>
          <w:b w:val="0"/>
          <w:i w:val="0"/>
          <w:caps w:val="0"/>
          <w:color w:val="000000"/>
          <w:spacing w:val="0"/>
          <w:w w:val="100"/>
          <w:kern w:val="0"/>
          <w:sz w:val="32"/>
          <w:szCs w:val="32"/>
          <w:lang w:val="en-US" w:eastAsia="zh-CN" w:bidi="ar-SA"/>
        </w:rPr>
        <w:t>指在基本支出之外为完成特定行政任务和事业发展目标所发生的支出。</w:t>
      </w:r>
    </w:p>
    <w:p>
      <w:pPr>
        <w:widowControl/>
        <w:snapToGrid/>
        <w:spacing w:before="0" w:beforeAutospacing="0" w:after="0" w:afterAutospacing="0" w:line="240" w:lineRule="auto"/>
        <w:ind w:firstLine="640"/>
        <w:jc w:val="left"/>
        <w:textAlignment w:val="baseline"/>
        <w:rPr>
          <w:rStyle w:val="7"/>
          <w:rFonts w:ascii="仿宋_GB2312" w:hAnsi="Arial" w:eastAsia="仿宋_GB2312"/>
          <w:b w:val="0"/>
          <w:i w:val="0"/>
          <w:caps w:val="0"/>
          <w:color w:val="000000"/>
          <w:spacing w:val="0"/>
          <w:w w:val="100"/>
          <w:kern w:val="0"/>
          <w:sz w:val="18"/>
          <w:szCs w:val="18"/>
          <w:lang w:val="en-US" w:eastAsia="zh-CN" w:bidi="ar-SA"/>
        </w:rPr>
      </w:pPr>
      <w:r>
        <w:rPr>
          <w:rStyle w:val="7"/>
          <w:rFonts w:ascii="仿宋_GB2312" w:hAnsi="Arial" w:eastAsia="仿宋_GB2312" w:cs="Arial"/>
          <w:b/>
          <w:bCs/>
          <w:i w:val="0"/>
          <w:caps w:val="0"/>
          <w:color w:val="000000"/>
          <w:spacing w:val="0"/>
          <w:w w:val="100"/>
          <w:kern w:val="0"/>
          <w:sz w:val="32"/>
          <w:szCs w:val="32"/>
          <w:lang w:val="en-US" w:eastAsia="zh-CN" w:bidi="ar-SA"/>
        </w:rPr>
        <w:t>7.“三公”经费：</w:t>
      </w:r>
      <w:r>
        <w:rPr>
          <w:rStyle w:val="7"/>
          <w:rFonts w:ascii="仿宋_GB2312" w:hAnsi="Arial" w:eastAsia="仿宋_GB2312"/>
          <w:b w:val="0"/>
          <w:i w:val="0"/>
          <w:caps w:val="0"/>
          <w:color w:val="000000"/>
          <w:spacing w:val="0"/>
          <w:w w:val="100"/>
          <w:kern w:val="0"/>
          <w:sz w:val="32"/>
          <w:szCs w:val="32"/>
          <w:lang w:val="en-US" w:eastAsia="zh-CN" w:bidi="ar-SA"/>
        </w:rPr>
        <w:t>指用财政拨款安排的因公出国（境）费、公务用车购置及运行费和公务接待费。其中，因公出国（境）费反映单位公务出国（境）的住宿费、旅费、伙食补助费、杂费、培训费等支出；公务用车购置及运行费反映单位公务用车购置费以及按规定保留的公务用车燃料费、维修费、过路过桥费、保险费、安全奖励费用等支出；公务接待费反映单位按规定开支的各类公务接待（含外宾接待）支出。</w:t>
      </w:r>
    </w:p>
    <w:p>
      <w:pPr>
        <w:snapToGrid/>
        <w:spacing w:before="0" w:beforeAutospacing="0" w:after="0" w:afterAutospacing="0" w:line="360" w:lineRule="auto"/>
        <w:ind w:firstLine="643" w:firstLineChars="20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8.社会保障和就业支出（类）行政事业单位离退休（款）事业单位离退休（项）：</w:t>
      </w:r>
      <w:r>
        <w:rPr>
          <w:rStyle w:val="7"/>
          <w:rFonts w:ascii="仿宋_GB2312" w:hAnsi="宋体" w:eastAsia="仿宋_GB2312"/>
          <w:b w:val="0"/>
          <w:i w:val="0"/>
          <w:caps w:val="0"/>
          <w:spacing w:val="0"/>
          <w:w w:val="100"/>
          <w:kern w:val="2"/>
          <w:sz w:val="32"/>
          <w:szCs w:val="32"/>
          <w:lang w:val="en-US" w:eastAsia="zh-CN" w:bidi="ar-SA"/>
        </w:rPr>
        <w:t>反映疾病预防控制中心开支的离退休经费。</w:t>
      </w:r>
    </w:p>
    <w:p>
      <w:pPr>
        <w:snapToGrid/>
        <w:spacing w:before="0" w:beforeAutospacing="0" w:after="0" w:afterAutospacing="0" w:line="360" w:lineRule="auto"/>
        <w:ind w:firstLine="643" w:firstLineChars="20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9. 社会保障和就业支出（类）行政事业单位离退休（款）机关事业单位基本养老保险缴费（项）：</w:t>
      </w:r>
      <w:r>
        <w:rPr>
          <w:rStyle w:val="7"/>
          <w:rFonts w:ascii="仿宋_GB2312" w:hAnsi="宋体" w:eastAsia="仿宋_GB2312"/>
          <w:b w:val="0"/>
          <w:i w:val="0"/>
          <w:caps w:val="0"/>
          <w:spacing w:val="0"/>
          <w:w w:val="100"/>
          <w:kern w:val="2"/>
          <w:sz w:val="32"/>
          <w:szCs w:val="32"/>
          <w:lang w:val="en-US" w:eastAsia="zh-CN" w:bidi="ar-SA"/>
        </w:rPr>
        <w:t>反映疾病预防控制中心开支的基本养老保险经费。</w:t>
      </w:r>
    </w:p>
    <w:p>
      <w:pPr>
        <w:snapToGrid/>
        <w:spacing w:before="0" w:beforeAutospacing="0" w:after="0" w:afterAutospacing="0" w:line="360" w:lineRule="auto"/>
        <w:ind w:firstLine="643" w:firstLineChars="20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10. 卫生健康支出（类）卫生健康管理事务（款）其他医疗卫生与计划生育管理（项）：</w:t>
      </w:r>
      <w:r>
        <w:rPr>
          <w:rStyle w:val="7"/>
          <w:rFonts w:ascii="仿宋_GB2312" w:hAnsi="宋体" w:eastAsia="仿宋_GB2312"/>
          <w:b w:val="0"/>
          <w:i w:val="0"/>
          <w:caps w:val="0"/>
          <w:spacing w:val="0"/>
          <w:w w:val="100"/>
          <w:kern w:val="2"/>
          <w:sz w:val="32"/>
          <w:szCs w:val="32"/>
          <w:lang w:val="en-US" w:eastAsia="zh-CN" w:bidi="ar-SA"/>
        </w:rPr>
        <w:t>反映疾病预防控制中心其他项目支出。</w:t>
      </w:r>
    </w:p>
    <w:p>
      <w:pPr>
        <w:snapToGrid/>
        <w:spacing w:before="0" w:beforeAutospacing="0" w:after="0" w:afterAutospacing="0" w:line="360" w:lineRule="auto"/>
        <w:ind w:left="420" w:leftChars="200" w:firstLine="161" w:firstLineChars="5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11.卫生健康支出（类）公共卫生（款）基本公共卫生服务（项）：</w:t>
      </w:r>
      <w:r>
        <w:rPr>
          <w:rStyle w:val="7"/>
          <w:rFonts w:ascii="仿宋_GB2312" w:hAnsi="宋体" w:eastAsia="仿宋_GB2312"/>
          <w:b w:val="0"/>
          <w:i w:val="0"/>
          <w:caps w:val="0"/>
          <w:spacing w:val="0"/>
          <w:w w:val="100"/>
          <w:kern w:val="2"/>
          <w:sz w:val="32"/>
          <w:szCs w:val="32"/>
          <w:lang w:val="en-US" w:eastAsia="zh-CN" w:bidi="ar-SA"/>
        </w:rPr>
        <w:t>反映疾病预防控制中心基本公共卫生服务支出。</w:t>
      </w:r>
    </w:p>
    <w:p>
      <w:pPr>
        <w:snapToGrid/>
        <w:spacing w:before="0" w:beforeAutospacing="0" w:after="0" w:afterAutospacing="0" w:line="360" w:lineRule="auto"/>
        <w:ind w:left="420" w:leftChars="200" w:firstLine="161" w:firstLineChars="5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12.卫生健康支出（类）公共卫生（款）重大公共卫生服务（项）：</w:t>
      </w:r>
      <w:r>
        <w:rPr>
          <w:rStyle w:val="7"/>
          <w:rFonts w:ascii="仿宋_GB2312" w:hAnsi="宋体" w:eastAsia="仿宋_GB2312"/>
          <w:b w:val="0"/>
          <w:i w:val="0"/>
          <w:caps w:val="0"/>
          <w:spacing w:val="0"/>
          <w:w w:val="100"/>
          <w:kern w:val="2"/>
          <w:sz w:val="32"/>
          <w:szCs w:val="32"/>
          <w:lang w:val="en-US" w:eastAsia="zh-CN" w:bidi="ar-SA"/>
        </w:rPr>
        <w:t>反映疾病预防控制中心重大公共卫生服务支出。</w:t>
      </w:r>
    </w:p>
    <w:p>
      <w:pPr>
        <w:snapToGrid/>
        <w:spacing w:before="0" w:beforeAutospacing="0" w:after="0" w:afterAutospacing="0" w:line="360" w:lineRule="auto"/>
        <w:ind w:left="420" w:leftChars="200" w:firstLine="161" w:firstLineChars="5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13.卫生健康支出（类）行政事业单位医疗（款）事业单位医疗（项）：</w:t>
      </w:r>
      <w:r>
        <w:rPr>
          <w:rStyle w:val="7"/>
          <w:rFonts w:ascii="仿宋_GB2312" w:hAnsi="宋体" w:eastAsia="仿宋_GB2312"/>
          <w:b w:val="0"/>
          <w:i w:val="0"/>
          <w:caps w:val="0"/>
          <w:spacing w:val="0"/>
          <w:w w:val="100"/>
          <w:kern w:val="2"/>
          <w:sz w:val="32"/>
          <w:szCs w:val="32"/>
          <w:lang w:val="en-US" w:eastAsia="zh-CN" w:bidi="ar-SA"/>
        </w:rPr>
        <w:t>反映疾病预防控制中心医疗保险支出。</w:t>
      </w:r>
    </w:p>
    <w:p>
      <w:pPr>
        <w:snapToGrid/>
        <w:spacing w:before="0" w:beforeAutospacing="0" w:after="0" w:afterAutospacing="0" w:line="360" w:lineRule="auto"/>
        <w:ind w:left="420" w:leftChars="200" w:firstLine="161" w:firstLineChars="5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14.卫生健康支出（类）行政事业单位医疗（款）公务员医疗补助（项）：</w:t>
      </w:r>
      <w:r>
        <w:rPr>
          <w:rStyle w:val="7"/>
          <w:rFonts w:ascii="仿宋_GB2312" w:hAnsi="宋体" w:eastAsia="仿宋_GB2312"/>
          <w:b w:val="0"/>
          <w:i w:val="0"/>
          <w:caps w:val="0"/>
          <w:spacing w:val="0"/>
          <w:w w:val="100"/>
          <w:kern w:val="2"/>
          <w:sz w:val="32"/>
          <w:szCs w:val="32"/>
          <w:lang w:val="en-US" w:eastAsia="zh-CN" w:bidi="ar-SA"/>
        </w:rPr>
        <w:t>反映疾病预防控制中心医疗补助支出。</w:t>
      </w:r>
    </w:p>
    <w:p>
      <w:pPr>
        <w:snapToGrid/>
        <w:spacing w:before="0" w:beforeAutospacing="0" w:after="0" w:afterAutospacing="0" w:line="360" w:lineRule="auto"/>
        <w:ind w:firstLine="643" w:firstLineChars="20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15.住房保障支出（类）住房改革支出（款）住房公积金（项）：</w:t>
      </w:r>
      <w:r>
        <w:rPr>
          <w:rStyle w:val="7"/>
          <w:rFonts w:ascii="仿宋_GB2312" w:hAnsi="宋体" w:eastAsia="仿宋_GB2312"/>
          <w:b w:val="0"/>
          <w:i w:val="0"/>
          <w:caps w:val="0"/>
          <w:spacing w:val="0"/>
          <w:w w:val="100"/>
          <w:kern w:val="2"/>
          <w:sz w:val="32"/>
          <w:szCs w:val="32"/>
          <w:lang w:val="en-US" w:eastAsia="zh-CN" w:bidi="ar-SA"/>
        </w:rPr>
        <w:t>反映疾病预防控制中心按人力资源和社会保障部、财政部规定的基本工资和津贴补贴以及规定比例为职工缴纳的住房公积金。</w:t>
      </w:r>
    </w:p>
    <w:p>
      <w:pPr>
        <w:snapToGrid/>
        <w:spacing w:before="0" w:beforeAutospacing="0" w:after="0" w:afterAutospacing="0" w:line="360" w:lineRule="auto"/>
        <w:ind w:left="420" w:leftChars="200" w:firstLine="161" w:firstLineChars="50"/>
        <w:jc w:val="both"/>
        <w:textAlignment w:val="baseline"/>
        <w:rPr>
          <w:rStyle w:val="7"/>
          <w:rFonts w:ascii="仿宋_GB2312" w:hAnsi="宋体" w:eastAsia="仿宋_GB2312"/>
          <w:b w:val="0"/>
          <w:i w:val="0"/>
          <w:caps w:val="0"/>
          <w:spacing w:val="0"/>
          <w:w w:val="100"/>
          <w:kern w:val="2"/>
          <w:sz w:val="32"/>
          <w:szCs w:val="32"/>
          <w:lang w:val="en-US" w:eastAsia="zh-CN" w:bidi="ar-SA"/>
        </w:rPr>
      </w:pPr>
      <w:r>
        <w:rPr>
          <w:rStyle w:val="7"/>
          <w:rFonts w:ascii="仿宋_GB2312" w:hAnsi="宋体" w:eastAsia="仿宋_GB2312"/>
          <w:b/>
          <w:i w:val="0"/>
          <w:caps w:val="0"/>
          <w:spacing w:val="0"/>
          <w:w w:val="100"/>
          <w:kern w:val="2"/>
          <w:sz w:val="32"/>
          <w:szCs w:val="32"/>
          <w:lang w:val="en-US" w:eastAsia="zh-CN" w:bidi="ar-SA"/>
        </w:rPr>
        <w:t>16.住房保障支出（类）住房改革支出（款）提租补贴（项）：</w:t>
      </w:r>
      <w:r>
        <w:rPr>
          <w:rStyle w:val="7"/>
          <w:rFonts w:ascii="仿宋_GB2312" w:hAnsi="宋体" w:eastAsia="仿宋_GB2312"/>
          <w:b w:val="0"/>
          <w:i w:val="0"/>
          <w:caps w:val="0"/>
          <w:spacing w:val="0"/>
          <w:w w:val="100"/>
          <w:kern w:val="2"/>
          <w:sz w:val="32"/>
          <w:szCs w:val="32"/>
          <w:lang w:val="en-US" w:eastAsia="zh-CN" w:bidi="ar-SA"/>
        </w:rPr>
        <w:t>反映行政事业单位按人力资源和社会保障部、财政部规定的基本工资和津贴补贴以及规定比例提取的住房补贴。</w:t>
      </w:r>
    </w:p>
    <w:p>
      <w:pPr>
        <w:widowControl/>
        <w:snapToGrid/>
        <w:spacing w:before="0" w:beforeAutospacing="0" w:after="0" w:afterAutospacing="0" w:line="240" w:lineRule="auto"/>
        <w:ind w:firstLine="640"/>
        <w:jc w:val="left"/>
        <w:textAlignment w:val="baseline"/>
        <w:rPr>
          <w:rStyle w:val="7"/>
          <w:rFonts w:ascii="仿宋_GB2312" w:hAnsi="Arial" w:eastAsia="仿宋_GB2312"/>
          <w:b w:val="0"/>
          <w:i w:val="0"/>
          <w:caps w:val="0"/>
          <w:color w:val="000000"/>
          <w:spacing w:val="0"/>
          <w:w w:val="100"/>
          <w:kern w:val="0"/>
          <w:sz w:val="18"/>
          <w:szCs w:val="18"/>
          <w:lang w:val="en-US" w:eastAsia="zh-CN" w:bidi="ar-SA"/>
        </w:rPr>
      </w:pPr>
    </w:p>
    <w:sectPr>
      <w:headerReference r:id="rId3" w:type="default"/>
      <w:pgSz w:w="11906" w:h="16838"/>
      <w:pgMar w:top="1440" w:right="1134" w:bottom="1440" w:left="1134" w:header="851" w:footer="992" w:gutter="0"/>
      <w:lnNumType w:countBy="0"/>
      <w:cols w:space="720"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bottom w:val="none" w:color="auto" w:sz="0" w:space="0"/>
      </w:pBdr>
      <w:snapToGrid w:val="0"/>
      <w:jc w:val="center"/>
      <w:textAlignment w:val="baseline"/>
      <w:rPr>
        <w:rStyle w:val="7"/>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05C5A"/>
    <w:multiLevelType w:val="multilevel"/>
    <w:tmpl w:val="19405C5A"/>
    <w:lvl w:ilvl="0" w:tentative="0">
      <w:start w:val="4"/>
      <w:numFmt w:val="decimal"/>
      <w:lvlText w:val="%1、"/>
      <w:lvlJc w:val="left"/>
      <w:pPr>
        <w:widowControl/>
        <w:ind w:left="1429" w:hanging="720"/>
        <w:textAlignment w:val="baseline"/>
      </w:pPr>
      <w:rPr>
        <w:rStyle w:val="7"/>
        <w:rFonts w:ascii="仿宋_GB2312" w:hAnsi="Times New Roman" w:eastAsia="仿宋_GB2312"/>
        <w:b w:val="0"/>
        <w:sz w:val="32"/>
      </w:rPr>
    </w:lvl>
    <w:lvl w:ilvl="1" w:tentative="0">
      <w:start w:val="3"/>
      <w:numFmt w:val="decimalEnclosedCircle"/>
      <w:lvlText w:val="%1"/>
      <w:lvlJc w:val="left"/>
      <w:pPr>
        <w:widowControl/>
        <w:ind w:left="1420" w:hanging="360"/>
        <w:textAlignment w:val="baseline"/>
      </w:pPr>
      <w:rPr>
        <w:rStyle w:val="7"/>
      </w:rPr>
    </w:lvl>
    <w:lvl w:ilvl="2" w:tentative="0">
      <w:start w:val="1"/>
      <w:numFmt w:val="lowerRoman"/>
      <w:lvlText w:val="%1."/>
      <w:lvlJc w:val="right"/>
      <w:pPr>
        <w:widowControl/>
        <w:ind w:left="1900" w:hanging="420"/>
        <w:textAlignment w:val="baseline"/>
      </w:pPr>
      <w:rPr>
        <w:rStyle w:val="7"/>
      </w:rPr>
    </w:lvl>
    <w:lvl w:ilvl="3" w:tentative="0">
      <w:start w:val="1"/>
      <w:numFmt w:val="decimal"/>
      <w:lvlText w:val="%1."/>
      <w:lvlJc w:val="left"/>
      <w:pPr>
        <w:widowControl/>
        <w:ind w:left="2320" w:hanging="420"/>
        <w:textAlignment w:val="baseline"/>
      </w:pPr>
      <w:rPr>
        <w:rStyle w:val="7"/>
      </w:rPr>
    </w:lvl>
    <w:lvl w:ilvl="4" w:tentative="0">
      <w:start w:val="1"/>
      <w:numFmt w:val="lowerLetter"/>
      <w:lvlText w:val="%1)"/>
      <w:lvlJc w:val="left"/>
      <w:pPr>
        <w:widowControl/>
        <w:ind w:left="2740" w:hanging="420"/>
        <w:textAlignment w:val="baseline"/>
      </w:pPr>
      <w:rPr>
        <w:rStyle w:val="7"/>
      </w:rPr>
    </w:lvl>
    <w:lvl w:ilvl="5" w:tentative="0">
      <w:start w:val="1"/>
      <w:numFmt w:val="lowerRoman"/>
      <w:lvlText w:val="%1."/>
      <w:lvlJc w:val="right"/>
      <w:pPr>
        <w:widowControl/>
        <w:ind w:left="3160" w:hanging="420"/>
        <w:textAlignment w:val="baseline"/>
      </w:pPr>
      <w:rPr>
        <w:rStyle w:val="7"/>
      </w:rPr>
    </w:lvl>
    <w:lvl w:ilvl="6" w:tentative="0">
      <w:start w:val="1"/>
      <w:numFmt w:val="decimal"/>
      <w:lvlText w:val="%1."/>
      <w:lvlJc w:val="left"/>
      <w:pPr>
        <w:widowControl/>
        <w:ind w:left="3580" w:hanging="420"/>
        <w:textAlignment w:val="baseline"/>
      </w:pPr>
      <w:rPr>
        <w:rStyle w:val="7"/>
      </w:rPr>
    </w:lvl>
    <w:lvl w:ilvl="7" w:tentative="0">
      <w:start w:val="1"/>
      <w:numFmt w:val="lowerLetter"/>
      <w:lvlText w:val="%1)"/>
      <w:lvlJc w:val="left"/>
      <w:pPr>
        <w:widowControl/>
        <w:ind w:left="4000" w:hanging="420"/>
        <w:textAlignment w:val="baseline"/>
      </w:pPr>
      <w:rPr>
        <w:rStyle w:val="7"/>
      </w:rPr>
    </w:lvl>
    <w:lvl w:ilvl="8" w:tentative="0">
      <w:start w:val="1"/>
      <w:numFmt w:val="lowerRoman"/>
      <w:lvlText w:val="%1."/>
      <w:lvlJc w:val="right"/>
      <w:pPr>
        <w:widowControl/>
        <w:ind w:left="4420" w:hanging="420"/>
        <w:textAlignment w:val="baseline"/>
      </w:pPr>
      <w:rPr>
        <w:rStyle w:val="7"/>
      </w:rPr>
    </w:lvl>
  </w:abstractNum>
  <w:abstractNum w:abstractNumId="1">
    <w:nsid w:val="6A5B04A3"/>
    <w:multiLevelType w:val="multilevel"/>
    <w:tmpl w:val="6A5B04A3"/>
    <w:lvl w:ilvl="0" w:tentative="0">
      <w:start w:val="1"/>
      <w:numFmt w:val="decimal"/>
      <w:lvlText w:val="%1."/>
      <w:lvlJc w:val="left"/>
      <w:pPr>
        <w:widowControl/>
        <w:ind w:left="1000" w:hanging="360"/>
        <w:textAlignment w:val="baseline"/>
      </w:pPr>
      <w:rPr>
        <w:rStyle w:val="7"/>
        <w:b/>
      </w:rPr>
    </w:lvl>
    <w:lvl w:ilvl="1" w:tentative="0">
      <w:start w:val="1"/>
      <w:numFmt w:val="lowerLetter"/>
      <w:lvlText w:val="%1)"/>
      <w:lvlJc w:val="left"/>
      <w:pPr>
        <w:widowControl/>
        <w:ind w:left="1480" w:hanging="420"/>
        <w:textAlignment w:val="baseline"/>
      </w:pPr>
      <w:rPr>
        <w:rStyle w:val="7"/>
      </w:rPr>
    </w:lvl>
    <w:lvl w:ilvl="2" w:tentative="0">
      <w:start w:val="1"/>
      <w:numFmt w:val="lowerRoman"/>
      <w:lvlText w:val="%1."/>
      <w:lvlJc w:val="right"/>
      <w:pPr>
        <w:widowControl/>
        <w:ind w:left="1900" w:hanging="420"/>
        <w:textAlignment w:val="baseline"/>
      </w:pPr>
      <w:rPr>
        <w:rStyle w:val="7"/>
      </w:rPr>
    </w:lvl>
    <w:lvl w:ilvl="3" w:tentative="0">
      <w:start w:val="1"/>
      <w:numFmt w:val="decimal"/>
      <w:lvlText w:val="%1."/>
      <w:lvlJc w:val="left"/>
      <w:pPr>
        <w:widowControl/>
        <w:ind w:left="2320" w:hanging="420"/>
        <w:textAlignment w:val="baseline"/>
      </w:pPr>
      <w:rPr>
        <w:rStyle w:val="7"/>
      </w:rPr>
    </w:lvl>
    <w:lvl w:ilvl="4" w:tentative="0">
      <w:start w:val="1"/>
      <w:numFmt w:val="lowerLetter"/>
      <w:lvlText w:val="%1)"/>
      <w:lvlJc w:val="left"/>
      <w:pPr>
        <w:widowControl/>
        <w:ind w:left="2740" w:hanging="420"/>
        <w:textAlignment w:val="baseline"/>
      </w:pPr>
      <w:rPr>
        <w:rStyle w:val="7"/>
      </w:rPr>
    </w:lvl>
    <w:lvl w:ilvl="5" w:tentative="0">
      <w:start w:val="1"/>
      <w:numFmt w:val="lowerRoman"/>
      <w:lvlText w:val="%1."/>
      <w:lvlJc w:val="right"/>
      <w:pPr>
        <w:widowControl/>
        <w:ind w:left="3160" w:hanging="420"/>
        <w:textAlignment w:val="baseline"/>
      </w:pPr>
      <w:rPr>
        <w:rStyle w:val="7"/>
      </w:rPr>
    </w:lvl>
    <w:lvl w:ilvl="6" w:tentative="0">
      <w:start w:val="1"/>
      <w:numFmt w:val="decimal"/>
      <w:lvlText w:val="%1."/>
      <w:lvlJc w:val="left"/>
      <w:pPr>
        <w:widowControl/>
        <w:ind w:left="3580" w:hanging="420"/>
        <w:textAlignment w:val="baseline"/>
      </w:pPr>
      <w:rPr>
        <w:rStyle w:val="7"/>
      </w:rPr>
    </w:lvl>
    <w:lvl w:ilvl="7" w:tentative="0">
      <w:start w:val="1"/>
      <w:numFmt w:val="lowerLetter"/>
      <w:lvlText w:val="%1)"/>
      <w:lvlJc w:val="left"/>
      <w:pPr>
        <w:widowControl/>
        <w:ind w:left="4000" w:hanging="420"/>
        <w:textAlignment w:val="baseline"/>
      </w:pPr>
      <w:rPr>
        <w:rStyle w:val="7"/>
      </w:rPr>
    </w:lvl>
    <w:lvl w:ilvl="8" w:tentative="0">
      <w:start w:val="1"/>
      <w:numFmt w:val="lowerRoman"/>
      <w:lvlText w:val="%1."/>
      <w:lvlJc w:val="right"/>
      <w:pPr>
        <w:widowControl/>
        <w:ind w:left="4420" w:hanging="420"/>
        <w:textAlignment w:val="baseline"/>
      </w:pPr>
      <w:rPr>
        <w:rStyle w:val="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0A215AE"/>
    <w:rsid w:val="00EF28B0"/>
    <w:rsid w:val="05554F11"/>
    <w:rsid w:val="1E3832F4"/>
    <w:rsid w:val="3FCC79F3"/>
    <w:rsid w:val="513E774B"/>
    <w:rsid w:val="57FD24B9"/>
    <w:rsid w:val="62D30DA5"/>
    <w:rsid w:val="6B2A103A"/>
    <w:rsid w:val="7E351B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paragraph" w:customStyle="1" w:styleId="6">
    <w:name w:val="Heading1"/>
    <w:basedOn w:val="1"/>
    <w:next w:val="1"/>
    <w:link w:val="9"/>
    <w:qFormat/>
    <w:uiPriority w:val="0"/>
    <w:pPr>
      <w:keepNext/>
      <w:keepLines/>
      <w:spacing w:before="340" w:after="330" w:line="578" w:lineRule="auto"/>
      <w:jc w:val="both"/>
      <w:textAlignment w:val="baseline"/>
    </w:pPr>
    <w:rPr>
      <w:rFonts w:ascii="Calibri" w:hAnsi="Calibri" w:cs="Times New Roman"/>
      <w:b/>
      <w:bCs/>
      <w:kern w:val="44"/>
      <w:sz w:val="44"/>
      <w:szCs w:val="44"/>
      <w:lang w:bidi="ar-SA"/>
    </w:rPr>
  </w:style>
  <w:style w:type="character" w:customStyle="1" w:styleId="7">
    <w:name w:val="NormalCharacter"/>
    <w:link w:val="1"/>
    <w:semiHidden/>
    <w:uiPriority w:val="0"/>
  </w:style>
  <w:style w:type="table" w:customStyle="1" w:styleId="8">
    <w:name w:val="TableNormal"/>
    <w:semiHidden/>
    <w:uiPriority w:val="0"/>
  </w:style>
  <w:style w:type="character" w:customStyle="1" w:styleId="9">
    <w:name w:val="UserStyle_0"/>
    <w:link w:val="6"/>
    <w:uiPriority w:val="0"/>
    <w:rPr>
      <w:rFonts w:ascii="Calibri" w:hAnsi="Calibri" w:cs="Times New Roman"/>
      <w:b/>
      <w:bCs/>
      <w:kern w:val="44"/>
      <w:sz w:val="44"/>
      <w:szCs w:val="44"/>
    </w:rPr>
  </w:style>
  <w:style w:type="paragraph" w:customStyle="1" w:styleId="10">
    <w:name w:val="Acetate"/>
    <w:basedOn w:val="1"/>
    <w:link w:val="11"/>
    <w:uiPriority w:val="0"/>
    <w:pPr>
      <w:jc w:val="both"/>
      <w:textAlignment w:val="baseline"/>
    </w:pPr>
    <w:rPr>
      <w:kern w:val="2"/>
      <w:sz w:val="18"/>
      <w:szCs w:val="18"/>
      <w:lang w:bidi="ar-SA"/>
    </w:rPr>
  </w:style>
  <w:style w:type="character" w:customStyle="1" w:styleId="11">
    <w:name w:val="UserStyle_1"/>
    <w:link w:val="10"/>
    <w:qFormat/>
    <w:uiPriority w:val="0"/>
    <w:rPr>
      <w:kern w:val="2"/>
      <w:sz w:val="18"/>
      <w:szCs w:val="18"/>
    </w:rPr>
  </w:style>
  <w:style w:type="paragraph" w:customStyle="1" w:styleId="12">
    <w:name w:val="179"/>
    <w:basedOn w:val="1"/>
    <w:uiPriority w:val="0"/>
    <w:pPr>
      <w:ind w:firstLine="420" w:firstLineChars="200"/>
      <w:jc w:val="both"/>
      <w:textAlignment w:val="baseline"/>
    </w:pPr>
  </w:style>
  <w:style w:type="character" w:customStyle="1" w:styleId="13">
    <w:name w:val="AnnotationReference"/>
    <w:basedOn w:val="7"/>
    <w:link w:val="1"/>
    <w:uiPriority w:val="0"/>
    <w:rPr>
      <w:sz w:val="21"/>
      <w:szCs w:val="21"/>
    </w:rPr>
  </w:style>
  <w:style w:type="paragraph" w:customStyle="1" w:styleId="14">
    <w:name w:val="AnnotationText"/>
    <w:basedOn w:val="1"/>
    <w:link w:val="15"/>
    <w:qFormat/>
    <w:uiPriority w:val="0"/>
    <w:pPr>
      <w:jc w:val="left"/>
      <w:textAlignment w:val="baseline"/>
    </w:pPr>
  </w:style>
  <w:style w:type="character" w:customStyle="1" w:styleId="15">
    <w:name w:val="UserStyle_2"/>
    <w:basedOn w:val="7"/>
    <w:link w:val="14"/>
    <w:uiPriority w:val="0"/>
    <w:rPr>
      <w:kern w:val="2"/>
      <w:sz w:val="21"/>
      <w:szCs w:val="24"/>
    </w:rPr>
  </w:style>
  <w:style w:type="paragraph" w:customStyle="1" w:styleId="16">
    <w:name w:val="AnnotationSubject"/>
    <w:basedOn w:val="14"/>
    <w:next w:val="14"/>
    <w:link w:val="17"/>
    <w:uiPriority w:val="0"/>
    <w:pPr>
      <w:jc w:val="left"/>
      <w:textAlignment w:val="baseline"/>
    </w:pPr>
    <w:rPr>
      <w:rFonts w:cs="Times New Roman"/>
      <w:b/>
      <w:bCs/>
    </w:rPr>
  </w:style>
  <w:style w:type="character" w:customStyle="1" w:styleId="17">
    <w:name w:val="UserStyle_3"/>
    <w:basedOn w:val="15"/>
    <w:link w:val="16"/>
    <w:qFormat/>
    <w:uiPriority w:val="0"/>
    <w:rPr>
      <w:rFonts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Office_11.1.0.10495_F1E327BC-269C-435d-A152-05C5408002CA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2021-06-11T02:07:00Z</dcterms:created>
  <dc:creator>Administrator</dc:creator>
  <cp:lastModifiedBy>Administrator</cp:lastModifiedBy>
  <dcterms:modified xsi:type="dcterms:W3CDTF">2021-06-11T02:19:00Z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503BBE7807894FF5863F6AA7E45923AD</vt:lpwstr>
  </property>
</Properties>
</file>