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left"/>
        <w:rPr>
          <w:rFonts w:hint="eastAsia" w:ascii="黑体" w:hAnsi="黑体" w:eastAsia="黑体" w:cs="黑体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附件：</w:t>
      </w:r>
    </w:p>
    <w:p>
      <w:pPr>
        <w:spacing w:beforeLines="50" w:line="640" w:lineRule="exact"/>
        <w:jc w:val="center"/>
        <w:rPr>
          <w:rFonts w:ascii="方正小标宋简体" w:hAnsi="宋体" w:eastAsia="方正小标宋简体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bCs/>
          <w:color w:val="000000" w:themeColor="text1"/>
          <w:kern w:val="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方正小标宋简体" w:hAnsi="宋体" w:eastAsia="方正小标宋简体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庄河市202</w:t>
      </w:r>
      <w:r>
        <w:rPr>
          <w:rFonts w:hint="eastAsia" w:ascii="方正小标宋简体" w:hAnsi="宋体" w:eastAsia="方正小标宋简体"/>
          <w:bCs/>
          <w:color w:val="000000" w:themeColor="text1"/>
          <w:kern w:val="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小标宋简体" w:hAnsi="宋体" w:eastAsia="方正小标宋简体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年预算执行情况</w:t>
      </w:r>
    </w:p>
    <w:p>
      <w:pPr>
        <w:spacing w:line="640" w:lineRule="exact"/>
        <w:jc w:val="center"/>
        <w:rPr>
          <w:rFonts w:hint="eastAsia" w:ascii="方正小标宋简体" w:hAnsi="宋体" w:eastAsia="方正小标宋简体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和202</w:t>
      </w:r>
      <w:r>
        <w:rPr>
          <w:rFonts w:hint="eastAsia" w:ascii="方正小标宋简体" w:hAnsi="宋体" w:eastAsia="方正小标宋简体"/>
          <w:bCs/>
          <w:color w:val="000000" w:themeColor="text1"/>
          <w:kern w:val="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小标宋简体" w:hAnsi="宋体" w:eastAsia="方正小标宋简体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年预算草案</w:t>
      </w:r>
      <w:r>
        <w:rPr>
          <w:rFonts w:hint="eastAsia" w:ascii="方正小标宋简体" w:hAnsi="宋体" w:eastAsia="方正小标宋简体"/>
          <w:bCs/>
          <w:color w:val="000000" w:themeColor="text1"/>
          <w:kern w:val="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方正小标宋简体" w:hAnsi="宋体" w:eastAsia="方正小标宋简体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报告</w:t>
      </w:r>
    </w:p>
    <w:p>
      <w:pPr>
        <w:pStyle w:val="2"/>
        <w:ind w:left="0" w:leftChars="0" w:firstLine="0" w:firstLineChars="0"/>
        <w:jc w:val="center"/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（审议稿）</w:t>
      </w:r>
    </w:p>
    <w:p>
      <w:pPr>
        <w:spacing w:line="64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6"/>
          <w:lang w:val="en-US" w:eastAsia="zh-CN"/>
          <w14:textFill>
            <w14:solidFill>
              <w14:schemeClr w14:val="tx1"/>
            </w14:solidFill>
          </w14:textFill>
        </w:rPr>
        <w:t xml:space="preserve">—— </w:t>
      </w:r>
      <w:r>
        <w:rPr>
          <w:rFonts w:hint="eastAsia" w:ascii="宋体" w:hAnsi="宋体" w:eastAsia="宋体" w:cs="宋体"/>
          <w:b/>
          <w:bCs/>
          <w:color w:val="000000" w:themeColor="text1"/>
          <w:spacing w:val="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b/>
          <w:bCs/>
          <w:color w:val="000000" w:themeColor="text1"/>
          <w:spacing w:val="6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/>
          <w:bCs/>
          <w:color w:val="000000" w:themeColor="text1"/>
          <w:spacing w:val="6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/>
          <w:color w:val="000000" w:themeColor="text1"/>
          <w:spacing w:val="6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 w:cs="宋体"/>
          <w:b/>
          <w:bCs/>
          <w:color w:val="000000" w:themeColor="text1"/>
          <w:spacing w:val="6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/>
          <w:bCs/>
          <w:color w:val="000000" w:themeColor="text1"/>
          <w:spacing w:val="6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宋体" w:hAnsi="宋体" w:eastAsia="宋体" w:cs="宋体"/>
          <w:b/>
          <w:bCs/>
          <w:color w:val="000000" w:themeColor="text1"/>
          <w:spacing w:val="6"/>
          <w14:textFill>
            <w14:solidFill>
              <w14:schemeClr w14:val="tx1"/>
            </w14:solidFill>
          </w14:textFill>
        </w:rPr>
        <w:t>日在庄河市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届人民代表大会第</w:t>
      </w:r>
      <w:r>
        <w:rPr>
          <w:rFonts w:hint="eastAsia" w:ascii="宋体" w:hAnsi="宋体" w:eastAsia="宋体" w:cs="宋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次会议上</w:t>
      </w:r>
    </w:p>
    <w:p>
      <w:pPr>
        <w:spacing w:line="320" w:lineRule="exact"/>
        <w:jc w:val="center"/>
        <w:rPr>
          <w:rFonts w:ascii="仿宋_GB2312" w:hAnsi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hint="eastAsia" w:ascii="楷体" w:hAnsi="楷体" w:eastAsia="楷体" w:cs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庄河市财政局</w:t>
      </w:r>
    </w:p>
    <w:p>
      <w:pPr>
        <w:spacing w:line="640" w:lineRule="exact"/>
        <w:jc w:val="center"/>
        <w:rPr>
          <w:rFonts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620" w:lineRule="exact"/>
        <w:rPr>
          <w:rFonts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各位代表：</w:t>
      </w:r>
    </w:p>
    <w:p>
      <w:pPr>
        <w:spacing w:line="620" w:lineRule="exact"/>
        <w:ind w:firstLine="623" w:firstLineChars="197"/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受市政府委托，现将我</w:t>
      </w:r>
      <w:r>
        <w:rPr>
          <w:rFonts w:hint="eastAsia" w:ascii="仿宋_GB2312"/>
          <w:b/>
          <w:bCs/>
          <w:color w:val="000000" w:themeColor="text1"/>
          <w:spacing w:val="-20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年预算执行情况</w:t>
      </w:r>
      <w:r>
        <w:rPr>
          <w:rFonts w:hint="eastAsia" w:ascii="仿宋_GB2312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（由于本报告时间早于财政决算日</w:t>
      </w:r>
      <w:r>
        <w:rPr>
          <w:rFonts w:hint="eastAsia" w:ascii="仿宋_GB2312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收支数字均为预计数</w:t>
      </w:r>
      <w:r>
        <w:rPr>
          <w:rFonts w:hint="eastAsia" w:ascii="仿宋_GB2312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和202</w:t>
      </w:r>
      <w:r>
        <w:rPr>
          <w:rFonts w:hint="eastAsia" w:ascii="仿宋_GB2312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年预算草案提请本次会议审议，并请市政协委员提出意见。</w:t>
      </w:r>
    </w:p>
    <w:p>
      <w:pPr>
        <w:spacing w:line="620" w:lineRule="exact"/>
        <w:ind w:firstLine="623" w:firstLineChars="197"/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一、202</w:t>
      </w:r>
      <w:r>
        <w:rPr>
          <w:rFonts w:hint="eastAsia" w:ascii="黑体" w:hAnsi="黑体" w:eastAsia="黑体" w:cs="黑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年预算执行情况</w:t>
      </w:r>
    </w:p>
    <w:p>
      <w:pPr>
        <w:spacing w:line="620" w:lineRule="exact"/>
        <w:ind w:firstLine="623" w:firstLineChars="197"/>
        <w:rPr>
          <w:rFonts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年,我市财政预算执行情况如下</w:t>
      </w:r>
      <w:r>
        <w:rPr>
          <w:rFonts w:hint="eastAsia" w:ascii="仿宋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（详见附表）</w:t>
      </w: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：</w:t>
      </w:r>
    </w:p>
    <w:p>
      <w:pPr>
        <w:spacing w:line="620" w:lineRule="exact"/>
        <w:ind w:firstLine="465" w:firstLineChars="147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（一）一般公共预算执行情况</w:t>
      </w:r>
    </w:p>
    <w:p>
      <w:pPr>
        <w:spacing w:line="620" w:lineRule="exact"/>
        <w:ind w:firstLine="632" w:firstLineChars="200"/>
        <w:rPr>
          <w:rFonts w:hint="eastAsia" w:ascii="仿宋_GB2312"/>
          <w:b/>
          <w:bCs/>
          <w:color w:val="auto"/>
          <w:highlight w:val="none"/>
          <w:lang w:eastAsia="zh-CN"/>
        </w:rPr>
      </w:pPr>
      <w:r>
        <w:rPr>
          <w:rFonts w:hint="eastAsia" w:ascii="楷体_GB2312" w:hAnsi="仿宋_GB2312" w:eastAsia="楷体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楷体_GB2312" w:hAnsi="仿宋_GB2312" w:eastAsia="楷体_GB2312"/>
          <w:b/>
          <w:bCs/>
          <w:sz w:val="32"/>
          <w:szCs w:val="32"/>
        </w:rPr>
        <w:t>、全市执行情况。</w:t>
      </w:r>
      <w:r>
        <w:rPr>
          <w:rFonts w:hint="eastAsia" w:ascii="仿宋_GB2312"/>
          <w:b/>
          <w:bCs/>
          <w:color w:val="auto"/>
          <w:highlight w:val="none"/>
        </w:rPr>
        <w:t>收入575,000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，完成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年初预算的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116.2</w:t>
      </w:r>
      <w:r>
        <w:rPr>
          <w:rFonts w:hint="eastAsia" w:ascii="仿宋_GB2312"/>
          <w:b/>
          <w:bCs/>
          <w:color w:val="auto"/>
          <w:highlight w:val="none"/>
        </w:rPr>
        <w:t>%，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增长</w:t>
      </w:r>
      <w:r>
        <w:rPr>
          <w:rFonts w:hint="eastAsia" w:ascii="仿宋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（收支增减均比上年实际）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17.2%。</w:t>
      </w:r>
      <w:r>
        <w:rPr>
          <w:rFonts w:hint="eastAsia" w:ascii="仿宋_GB2312"/>
          <w:b/>
          <w:bCs/>
          <w:color w:val="auto"/>
          <w:highlight w:val="none"/>
        </w:rPr>
        <w:t>其中：税收收入199,900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，完成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年初预算的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89</w:t>
      </w:r>
      <w:r>
        <w:rPr>
          <w:rFonts w:hint="eastAsia" w:ascii="仿宋_GB2312"/>
          <w:b/>
          <w:bCs/>
          <w:color w:val="auto"/>
          <w:highlight w:val="none"/>
        </w:rPr>
        <w:t xml:space="preserve">%；非税收入375,100 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，完成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年初预算的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138.7%；完成的这些收入，加上上级转移支付396,039万元、调入预算稳定调节基金71,525万元、调入国有资本经营预算77万元、调入其他资金6,073万元、上年结转收入164,050万元，全市一般公共预算总收入1,212,764万元；</w:t>
      </w:r>
      <w:r>
        <w:rPr>
          <w:rFonts w:hint="eastAsia" w:ascii="仿宋_GB2312"/>
          <w:b/>
          <w:bCs/>
          <w:color w:val="auto"/>
          <w:highlight w:val="none"/>
        </w:rPr>
        <w:t>支出725,283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完成年初预算的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113.1%，下降3.7</w:t>
      </w:r>
      <w:r>
        <w:rPr>
          <w:rFonts w:hint="eastAsia" w:ascii="仿宋_GB2312"/>
          <w:b/>
          <w:bCs/>
          <w:color w:val="auto"/>
          <w:highlight w:val="none"/>
        </w:rPr>
        <w:t>%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，加上上解上级支出100,008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万元、补充预算稳定调节基金109,868万元、结转下年支出257,145万元、调出资金20,460万元，全市一般公共预算总支出1,212,764万元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。收支相抵，预算平衡。</w:t>
      </w:r>
    </w:p>
    <w:p>
      <w:pPr>
        <w:spacing w:line="620" w:lineRule="exact"/>
        <w:ind w:firstLine="632" w:firstLineChars="200"/>
        <w:rPr>
          <w:rFonts w:hint="eastAsia" w:ascii="仿宋_GB2312"/>
          <w:b/>
          <w:bCs/>
          <w:color w:val="auto"/>
          <w:highlight w:val="none"/>
          <w:lang w:eastAsia="zh-CN"/>
        </w:rPr>
      </w:pPr>
      <w:r>
        <w:rPr>
          <w:rFonts w:hint="eastAsia" w:ascii="楷体_GB2312" w:hAnsi="仿宋_GB2312" w:eastAsia="楷体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楷体_GB2312" w:hAnsi="仿宋_GB2312" w:eastAsia="楷体_GB2312"/>
          <w:b/>
          <w:bCs/>
          <w:sz w:val="32"/>
          <w:szCs w:val="32"/>
        </w:rPr>
        <w:t>市本级执行情况。</w:t>
      </w:r>
      <w:r>
        <w:rPr>
          <w:rFonts w:hint="eastAsia" w:ascii="仿宋_GB2312"/>
          <w:b/>
          <w:bCs/>
          <w:color w:val="auto"/>
          <w:highlight w:val="none"/>
        </w:rPr>
        <w:t>收入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404,847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，完成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年初预算的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129</w:t>
      </w:r>
      <w:r>
        <w:rPr>
          <w:rFonts w:hint="eastAsia" w:ascii="仿宋_GB2312"/>
          <w:b/>
          <w:bCs/>
          <w:color w:val="auto"/>
          <w:highlight w:val="none"/>
        </w:rPr>
        <w:t>%，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增长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31.9%</w:t>
      </w:r>
      <w:r>
        <w:rPr>
          <w:rFonts w:hint="eastAsia" w:ascii="仿宋_GB2312"/>
          <w:b/>
          <w:bCs/>
          <w:color w:val="auto"/>
          <w:highlight w:val="none"/>
        </w:rPr>
        <w:t>。其中：税收收入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40,305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，完成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年初预算的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82</w:t>
      </w:r>
      <w:r>
        <w:rPr>
          <w:rFonts w:hint="eastAsia" w:ascii="仿宋_GB2312"/>
          <w:b/>
          <w:bCs/>
          <w:color w:val="auto"/>
          <w:highlight w:val="none"/>
        </w:rPr>
        <w:t>%；非税收入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364,542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，完成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年初预算的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137.8</w:t>
      </w:r>
      <w:r>
        <w:rPr>
          <w:rFonts w:hint="eastAsia" w:ascii="仿宋_GB2312"/>
          <w:b/>
          <w:bCs/>
          <w:color w:val="auto"/>
          <w:highlight w:val="none"/>
        </w:rPr>
        <w:t>%。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完成的这些收入，加上上级转移支付396,039万元、下级上解收入29，030万元、调入预算稳定调节基金57，666万元、调入国有资本经营预算77万元、上年结转收入162,189万元，</w:t>
      </w: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市本级一般公共预算总收入1,049,848</w:t>
      </w:r>
      <w:r>
        <w:rPr>
          <w:rFonts w:hint="eastAsia" w:ascii="仿宋_GB2312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支出553,752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完成年初预算的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121.1%，下降2.6</w:t>
      </w:r>
      <w:r>
        <w:rPr>
          <w:rFonts w:hint="eastAsia" w:ascii="仿宋_GB2312"/>
          <w:b/>
          <w:bCs/>
          <w:color w:val="auto"/>
          <w:highlight w:val="none"/>
        </w:rPr>
        <w:t>%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。</w:t>
      </w: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加上上解上</w:t>
      </w:r>
      <w:r>
        <w:rPr>
          <w:rFonts w:hint="eastAsia" w:ascii="仿宋_GB2312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级支出100,008</w:t>
      </w:r>
      <w:r>
        <w:rPr>
          <w:rFonts w:hint="eastAsia" w:ascii="仿宋_GB2312"/>
          <w:b/>
          <w:bCs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、补助下级支出27,339</w:t>
      </w:r>
      <w:r>
        <w:rPr>
          <w:rFonts w:hint="eastAsia" w:ascii="仿宋_GB2312"/>
          <w:b/>
          <w:bCs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、补充预算稳定调节基金91,144</w:t>
      </w:r>
      <w:r>
        <w:rPr>
          <w:rFonts w:hint="eastAsia" w:ascii="仿宋_GB2312"/>
          <w:b/>
          <w:bCs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、结转下年支出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257,145万元</w:t>
      </w:r>
      <w:r>
        <w:rPr>
          <w:rFonts w:hint="eastAsia" w:ascii="仿宋_GB2312"/>
          <w:b/>
          <w:bCs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、调出资金</w:t>
      </w:r>
      <w:r>
        <w:rPr>
          <w:rFonts w:hint="eastAsia" w:ascii="仿宋_GB2312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20,460万元</w:t>
      </w:r>
      <w:r>
        <w:rPr>
          <w:rFonts w:hint="eastAsia" w:ascii="仿宋_GB2312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，市本级一般</w:t>
      </w: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公共预算总支出1,049,848</w:t>
      </w:r>
      <w:r>
        <w:rPr>
          <w:rFonts w:hint="eastAsia" w:ascii="仿宋_GB2312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收支相抵，预算平衡。</w:t>
      </w:r>
    </w:p>
    <w:p>
      <w:pPr>
        <w:spacing w:line="620" w:lineRule="exact"/>
        <w:ind w:firstLine="632" w:firstLineChars="200"/>
        <w:rPr>
          <w:rFonts w:hint="eastAsia" w:ascii="仿宋_GB2312"/>
          <w:b/>
          <w:bCs/>
          <w:color w:val="auto"/>
          <w:highlight w:val="none"/>
        </w:rPr>
      </w:pPr>
      <w:r>
        <w:rPr>
          <w:rFonts w:hint="eastAsia" w:ascii="仿宋_GB2312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市本级支出</w:t>
      </w:r>
      <w:r>
        <w:rPr>
          <w:rFonts w:hint="eastAsia" w:ascii="仿宋_GB2312"/>
          <w:b/>
          <w:bCs/>
          <w:color w:val="auto"/>
          <w:highlight w:val="none"/>
        </w:rPr>
        <w:t>具体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完成</w:t>
      </w:r>
      <w:r>
        <w:rPr>
          <w:rFonts w:hint="eastAsia" w:ascii="仿宋_GB2312"/>
          <w:b/>
          <w:bCs/>
          <w:color w:val="auto"/>
          <w:highlight w:val="none"/>
        </w:rPr>
        <w:t>情况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。</w:t>
      </w:r>
      <w:r>
        <w:rPr>
          <w:rFonts w:hint="eastAsia" w:ascii="仿宋_GB2312"/>
          <w:b/>
          <w:bCs/>
          <w:color w:val="auto"/>
          <w:highlight w:val="none"/>
        </w:rPr>
        <w:t>(1)一般公共服务支出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21,250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下降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25</w:t>
      </w:r>
      <w:r>
        <w:rPr>
          <w:rFonts w:hint="eastAsia" w:ascii="仿宋_GB2312"/>
          <w:b/>
          <w:bCs/>
          <w:color w:val="auto"/>
          <w:highlight w:val="none"/>
        </w:rPr>
        <w:t>%；(2)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国防支出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45万元；</w:t>
      </w:r>
      <w:r>
        <w:rPr>
          <w:rFonts w:hint="eastAsia" w:ascii="仿宋_GB2312"/>
          <w:b/>
          <w:bCs/>
          <w:color w:val="auto"/>
          <w:highlight w:val="none"/>
        </w:rPr>
        <w:t>(3)公共安全支出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22,134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下降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21.5</w:t>
      </w:r>
      <w:r>
        <w:rPr>
          <w:rFonts w:hint="eastAsia" w:ascii="仿宋_GB2312"/>
          <w:b/>
          <w:bCs/>
          <w:color w:val="auto"/>
          <w:highlight w:val="none"/>
        </w:rPr>
        <w:t>%；(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4</w:t>
      </w:r>
      <w:r>
        <w:rPr>
          <w:rFonts w:hint="eastAsia" w:ascii="仿宋_GB2312"/>
          <w:b/>
          <w:bCs/>
          <w:color w:val="auto"/>
          <w:highlight w:val="none"/>
        </w:rPr>
        <w:t>)教育支出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88,545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下降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42.8</w:t>
      </w:r>
      <w:r>
        <w:rPr>
          <w:rFonts w:hint="eastAsia" w:ascii="仿宋_GB2312"/>
          <w:b/>
          <w:bCs/>
          <w:color w:val="auto"/>
          <w:highlight w:val="none"/>
        </w:rPr>
        <w:t>%；(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5</w:t>
      </w:r>
      <w:r>
        <w:rPr>
          <w:rFonts w:hint="eastAsia" w:ascii="仿宋_GB2312"/>
          <w:b/>
          <w:bCs/>
          <w:color w:val="auto"/>
          <w:highlight w:val="none"/>
        </w:rPr>
        <w:t>)科学技术支出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228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，下降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13.3%</w:t>
      </w:r>
      <w:r>
        <w:rPr>
          <w:rFonts w:hint="eastAsia" w:ascii="仿宋_GB2312"/>
          <w:b/>
          <w:bCs/>
          <w:color w:val="auto"/>
          <w:highlight w:val="none"/>
        </w:rPr>
        <w:t>；(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6</w:t>
      </w:r>
      <w:r>
        <w:rPr>
          <w:rFonts w:hint="eastAsia" w:ascii="仿宋_GB2312"/>
          <w:b/>
          <w:bCs/>
          <w:color w:val="auto"/>
          <w:highlight w:val="none"/>
        </w:rPr>
        <w:t>)文化旅游体育与传媒支出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5,397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，下降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20.9</w:t>
      </w:r>
      <w:r>
        <w:rPr>
          <w:rFonts w:hint="eastAsia" w:ascii="仿宋_GB2312"/>
          <w:b/>
          <w:bCs/>
          <w:color w:val="auto"/>
          <w:highlight w:val="none"/>
        </w:rPr>
        <w:t>%；(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7</w:t>
      </w:r>
      <w:r>
        <w:rPr>
          <w:rFonts w:hint="eastAsia" w:ascii="仿宋_GB2312"/>
          <w:b/>
          <w:bCs/>
          <w:color w:val="auto"/>
          <w:highlight w:val="none"/>
        </w:rPr>
        <w:t>)社会保障与就业支出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114,494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，增长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13.4</w:t>
      </w:r>
      <w:r>
        <w:rPr>
          <w:rFonts w:hint="eastAsia" w:ascii="仿宋_GB2312"/>
          <w:b/>
          <w:bCs/>
          <w:color w:val="auto"/>
          <w:highlight w:val="none"/>
        </w:rPr>
        <w:t>%；(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8</w:t>
      </w:r>
      <w:r>
        <w:rPr>
          <w:rFonts w:hint="eastAsia" w:ascii="仿宋_GB2312"/>
          <w:b/>
          <w:bCs/>
          <w:color w:val="auto"/>
          <w:highlight w:val="none"/>
        </w:rPr>
        <w:t>)卫生健康支出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67,101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，增长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61.1</w:t>
      </w:r>
      <w:r>
        <w:rPr>
          <w:rFonts w:hint="eastAsia" w:ascii="仿宋_GB2312"/>
          <w:b/>
          <w:bCs/>
          <w:color w:val="auto"/>
          <w:highlight w:val="none"/>
        </w:rPr>
        <w:t>%；(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9</w:t>
      </w:r>
      <w:r>
        <w:rPr>
          <w:rFonts w:hint="eastAsia" w:ascii="仿宋_GB2312"/>
          <w:b/>
          <w:bCs/>
          <w:color w:val="auto"/>
          <w:highlight w:val="none"/>
        </w:rPr>
        <w:t>)节能环保支出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1,905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，下降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48.6</w:t>
      </w:r>
      <w:r>
        <w:rPr>
          <w:rFonts w:hint="eastAsia" w:ascii="仿宋_GB2312"/>
          <w:b/>
          <w:bCs/>
          <w:color w:val="auto"/>
          <w:highlight w:val="none"/>
        </w:rPr>
        <w:t>%；(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10</w:t>
      </w:r>
      <w:r>
        <w:rPr>
          <w:rFonts w:hint="eastAsia" w:ascii="仿宋_GB2312"/>
          <w:b/>
          <w:bCs/>
          <w:color w:val="auto"/>
          <w:highlight w:val="none"/>
        </w:rPr>
        <w:t>)城乡社区支出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64,498万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元</w:t>
      </w:r>
      <w:r>
        <w:rPr>
          <w:rFonts w:hint="eastAsia" w:ascii="仿宋_GB2312"/>
          <w:b/>
          <w:bCs/>
          <w:color w:val="auto"/>
          <w:highlight w:val="none"/>
        </w:rPr>
        <w:t>，增长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119.3</w:t>
      </w:r>
      <w:r>
        <w:rPr>
          <w:rFonts w:hint="eastAsia" w:ascii="仿宋_GB2312"/>
          <w:b/>
          <w:bCs/>
          <w:color w:val="auto"/>
          <w:highlight w:val="none"/>
        </w:rPr>
        <w:t>%；(1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</w:t>
      </w:r>
      <w:r>
        <w:rPr>
          <w:rFonts w:hint="eastAsia" w:ascii="仿宋_GB2312"/>
          <w:b/>
          <w:bCs/>
          <w:color w:val="auto"/>
          <w:highlight w:val="none"/>
        </w:rPr>
        <w:t>)农林水支出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81,527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，增长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37.1</w:t>
      </w:r>
      <w:r>
        <w:rPr>
          <w:rFonts w:hint="eastAsia" w:ascii="仿宋_GB2312"/>
          <w:b/>
          <w:bCs/>
          <w:color w:val="auto"/>
          <w:highlight w:val="none"/>
        </w:rPr>
        <w:t>%；(1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</w:t>
      </w:r>
      <w:r>
        <w:rPr>
          <w:rFonts w:hint="eastAsia" w:ascii="仿宋_GB2312"/>
          <w:b/>
          <w:bCs/>
          <w:color w:val="auto"/>
          <w:highlight w:val="none"/>
        </w:rPr>
        <w:t>)交通运输支出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12,014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下降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33.8</w:t>
      </w:r>
      <w:r>
        <w:rPr>
          <w:rFonts w:hint="eastAsia" w:ascii="仿宋_GB2312"/>
          <w:b/>
          <w:bCs/>
          <w:color w:val="auto"/>
          <w:highlight w:val="none"/>
        </w:rPr>
        <w:t>%；(1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3</w:t>
      </w:r>
      <w:r>
        <w:rPr>
          <w:rFonts w:hint="eastAsia" w:ascii="仿宋_GB2312"/>
          <w:b/>
          <w:bCs/>
          <w:color w:val="auto"/>
          <w:highlight w:val="none"/>
        </w:rPr>
        <w:t>)资源勘探信息等支出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296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下降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38.5</w:t>
      </w:r>
      <w:r>
        <w:rPr>
          <w:rFonts w:hint="eastAsia" w:ascii="仿宋_GB2312"/>
          <w:b/>
          <w:bCs/>
          <w:color w:val="auto"/>
          <w:highlight w:val="none"/>
        </w:rPr>
        <w:t>%；(1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4</w:t>
      </w:r>
      <w:r>
        <w:rPr>
          <w:rFonts w:hint="eastAsia" w:ascii="仿宋_GB2312"/>
          <w:b/>
          <w:bCs/>
          <w:color w:val="auto"/>
          <w:highlight w:val="none"/>
        </w:rPr>
        <w:t>)商业服务业等支出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1,360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，增长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112.8</w:t>
      </w:r>
      <w:r>
        <w:rPr>
          <w:rFonts w:hint="eastAsia" w:ascii="仿宋_GB2312"/>
          <w:b/>
          <w:bCs/>
          <w:color w:val="auto"/>
          <w:highlight w:val="none"/>
        </w:rPr>
        <w:t>%；(1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5</w:t>
      </w:r>
      <w:r>
        <w:rPr>
          <w:rFonts w:hint="eastAsia" w:ascii="仿宋_GB2312"/>
          <w:b/>
          <w:bCs/>
          <w:color w:val="auto"/>
          <w:highlight w:val="none"/>
        </w:rPr>
        <w:t>)援助其他地区支出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50万元；</w:t>
      </w:r>
      <w:r>
        <w:rPr>
          <w:rFonts w:hint="eastAsia" w:ascii="仿宋_GB2312"/>
          <w:b/>
          <w:bCs/>
          <w:color w:val="auto"/>
          <w:highlight w:val="none"/>
        </w:rPr>
        <w:t>(1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6</w:t>
      </w:r>
      <w:r>
        <w:rPr>
          <w:rFonts w:hint="eastAsia" w:ascii="仿宋_GB2312"/>
          <w:b/>
          <w:bCs/>
          <w:color w:val="auto"/>
          <w:highlight w:val="none"/>
        </w:rPr>
        <w:t>)自然资源海洋气象等支出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7,840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，增长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28.6</w:t>
      </w:r>
      <w:r>
        <w:rPr>
          <w:rFonts w:hint="eastAsia" w:ascii="仿宋_GB2312"/>
          <w:b/>
          <w:bCs/>
          <w:color w:val="auto"/>
          <w:highlight w:val="none"/>
        </w:rPr>
        <w:t>%；(1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7</w:t>
      </w:r>
      <w:r>
        <w:rPr>
          <w:rFonts w:hint="eastAsia" w:ascii="仿宋_GB2312"/>
          <w:b/>
          <w:bCs/>
          <w:color w:val="auto"/>
          <w:highlight w:val="none"/>
        </w:rPr>
        <w:t>)住房保障支出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25,860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，增长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11.3</w:t>
      </w:r>
      <w:r>
        <w:rPr>
          <w:rFonts w:hint="eastAsia" w:ascii="仿宋_GB2312"/>
          <w:b/>
          <w:bCs/>
          <w:color w:val="auto"/>
          <w:highlight w:val="none"/>
        </w:rPr>
        <w:t>%；(1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8</w:t>
      </w:r>
      <w:r>
        <w:rPr>
          <w:rFonts w:hint="eastAsia" w:ascii="仿宋_GB2312"/>
          <w:b/>
          <w:bCs/>
          <w:color w:val="auto"/>
          <w:highlight w:val="none"/>
        </w:rPr>
        <w:t>)灾害防治及应急管理支出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2,292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，下降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31.6</w:t>
      </w:r>
      <w:r>
        <w:rPr>
          <w:rFonts w:hint="eastAsia" w:ascii="仿宋_GB2312"/>
          <w:b/>
          <w:bCs/>
          <w:color w:val="auto"/>
          <w:highlight w:val="none"/>
        </w:rPr>
        <w:t>%；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(</w:t>
      </w:r>
      <w:r>
        <w:rPr>
          <w:rFonts w:hint="eastAsia" w:ascii="仿宋_GB2312"/>
          <w:b/>
          <w:bCs/>
          <w:color w:val="auto"/>
          <w:highlight w:val="none"/>
        </w:rPr>
        <w:t>1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9)</w:t>
      </w:r>
      <w:r>
        <w:rPr>
          <w:rFonts w:hint="eastAsia" w:ascii="仿宋_GB2312"/>
          <w:b/>
          <w:bCs/>
          <w:color w:val="auto"/>
          <w:highlight w:val="none"/>
        </w:rPr>
        <w:t>其他支出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650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，下降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97.9</w:t>
      </w:r>
      <w:r>
        <w:rPr>
          <w:rFonts w:hint="eastAsia" w:ascii="仿宋_GB2312"/>
          <w:b/>
          <w:bCs/>
          <w:color w:val="auto"/>
          <w:highlight w:val="none"/>
        </w:rPr>
        <w:t>%；(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20</w:t>
      </w:r>
      <w:r>
        <w:rPr>
          <w:rFonts w:hint="eastAsia" w:ascii="仿宋_GB2312"/>
          <w:b/>
          <w:bCs/>
          <w:color w:val="auto"/>
          <w:highlight w:val="none"/>
        </w:rPr>
        <w:t>)债务付息及发行费支出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36,266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。</w:t>
      </w:r>
    </w:p>
    <w:p>
      <w:pPr>
        <w:numPr>
          <w:ilvl w:val="0"/>
          <w:numId w:val="0"/>
        </w:numPr>
        <w:spacing w:line="620" w:lineRule="exact"/>
        <w:ind w:firstLine="632" w:firstLineChars="200"/>
        <w:rPr>
          <w:rFonts w:hint="eastAsia" w:ascii="仿宋_GB2312"/>
          <w:b/>
          <w:bCs/>
          <w:color w:val="auto"/>
          <w:highlight w:val="none"/>
        </w:rPr>
      </w:pPr>
      <w:r>
        <w:rPr>
          <w:rFonts w:hint="eastAsia" w:ascii="楷体_GB2312" w:hAnsi="仿宋_GB2312" w:eastAsia="楷体_GB2312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楷体_GB2312" w:hAnsi="仿宋_GB2312" w:eastAsia="楷体_GB2312"/>
          <w:b/>
          <w:bCs/>
          <w:sz w:val="32"/>
          <w:szCs w:val="32"/>
        </w:rPr>
        <w:t>大连北黄海经济</w:t>
      </w:r>
      <w:r>
        <w:rPr>
          <w:rFonts w:hint="eastAsia" w:ascii="楷体_GB2312" w:hAnsi="仿宋_GB2312" w:eastAsia="楷体_GB2312"/>
          <w:b/>
          <w:bCs/>
          <w:sz w:val="32"/>
          <w:szCs w:val="32"/>
          <w:lang w:eastAsia="zh-CN"/>
        </w:rPr>
        <w:t>开发</w:t>
      </w:r>
      <w:r>
        <w:rPr>
          <w:rFonts w:hint="eastAsia" w:ascii="楷体_GB2312" w:hAnsi="仿宋_GB2312" w:eastAsia="楷体_GB2312"/>
          <w:b/>
          <w:bCs/>
          <w:sz w:val="32"/>
          <w:szCs w:val="32"/>
        </w:rPr>
        <w:t>区</w:t>
      </w:r>
      <w:r>
        <w:rPr>
          <w:rFonts w:hint="eastAsia" w:ascii="楷体_GB2312" w:hAnsi="仿宋_GB2312" w:eastAsia="楷体_GB2312"/>
          <w:b/>
          <w:bCs/>
          <w:sz w:val="30"/>
          <w:szCs w:val="30"/>
          <w:highlight w:val="none"/>
        </w:rPr>
        <w:t>（下称北黄海</w:t>
      </w:r>
      <w:r>
        <w:rPr>
          <w:rFonts w:hint="eastAsia" w:ascii="楷体_GB2312" w:hAnsi="仿宋_GB2312" w:eastAsia="楷体_GB2312"/>
          <w:b/>
          <w:bCs/>
          <w:sz w:val="30"/>
          <w:szCs w:val="30"/>
          <w:highlight w:val="none"/>
          <w:lang w:eastAsia="zh-CN"/>
        </w:rPr>
        <w:t>经开区</w:t>
      </w:r>
      <w:r>
        <w:rPr>
          <w:rFonts w:hint="eastAsia" w:ascii="楷体_GB2312" w:hAnsi="仿宋_GB2312" w:eastAsia="楷体_GB2312"/>
          <w:b/>
          <w:bCs/>
          <w:sz w:val="30"/>
          <w:szCs w:val="30"/>
          <w:highlight w:val="none"/>
        </w:rPr>
        <w:t>）</w:t>
      </w:r>
      <w:r>
        <w:rPr>
          <w:rFonts w:hint="eastAsia" w:ascii="楷体_GB2312" w:hAnsi="仿宋_GB2312" w:eastAsia="楷体_GB2312"/>
          <w:b/>
          <w:bCs/>
          <w:sz w:val="32"/>
          <w:szCs w:val="32"/>
        </w:rPr>
        <w:t>和各街道执行情况。</w:t>
      </w:r>
      <w:r>
        <w:rPr>
          <w:rFonts w:hint="eastAsia" w:ascii="仿宋_GB2312" w:hAnsi="楷体" w:cs="楷体"/>
          <w:b/>
          <w:bCs/>
          <w:color w:val="auto"/>
          <w:highlight w:val="none"/>
        </w:rPr>
        <w:t>（1）</w:t>
      </w:r>
      <w:r>
        <w:rPr>
          <w:rFonts w:hint="eastAsia" w:ascii="仿宋_GB2312" w:hAnsi="黑体"/>
          <w:b/>
          <w:bCs/>
          <w:color w:val="auto"/>
          <w:highlight w:val="none"/>
          <w:lang w:eastAsia="zh-CN"/>
        </w:rPr>
        <w:t>北黄海经开区</w:t>
      </w:r>
      <w:r>
        <w:rPr>
          <w:rFonts w:hint="eastAsia" w:ascii="仿宋_GB2312" w:hAnsi="黑体"/>
          <w:b/>
          <w:bCs/>
          <w:color w:val="auto"/>
          <w:highlight w:val="none"/>
        </w:rPr>
        <w:t>完成</w:t>
      </w:r>
      <w:r>
        <w:rPr>
          <w:rFonts w:hint="eastAsia" w:ascii="仿宋_GB2312"/>
          <w:b/>
          <w:bCs/>
          <w:color w:val="auto"/>
          <w:highlight w:val="none"/>
        </w:rPr>
        <w:t>收入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44,700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、支出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32,022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；（2）</w:t>
      </w:r>
      <w:r>
        <w:rPr>
          <w:rFonts w:hint="eastAsia" w:ascii="仿宋_GB2312" w:hAnsi="黑体"/>
          <w:b/>
          <w:bCs/>
          <w:color w:val="auto"/>
          <w:highlight w:val="none"/>
        </w:rPr>
        <w:t>城关街道完成</w:t>
      </w:r>
      <w:r>
        <w:rPr>
          <w:rFonts w:hint="eastAsia" w:ascii="仿宋_GB2312"/>
          <w:b/>
          <w:bCs/>
          <w:color w:val="auto"/>
          <w:highlight w:val="none"/>
        </w:rPr>
        <w:t>收入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5,853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、支出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5,069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；（3）</w:t>
      </w:r>
      <w:r>
        <w:rPr>
          <w:rFonts w:hint="eastAsia" w:ascii="仿宋_GB2312" w:hAnsi="黑体"/>
          <w:b/>
          <w:bCs/>
          <w:color w:val="auto"/>
          <w:highlight w:val="none"/>
        </w:rPr>
        <w:t>兴达街道完成</w:t>
      </w:r>
      <w:r>
        <w:rPr>
          <w:rFonts w:hint="eastAsia" w:ascii="仿宋_GB2312"/>
          <w:b/>
          <w:bCs/>
          <w:color w:val="auto"/>
          <w:highlight w:val="none"/>
        </w:rPr>
        <w:t>收入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2,506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、支出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1,399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；（4）</w:t>
      </w:r>
      <w:r>
        <w:rPr>
          <w:rFonts w:hint="eastAsia" w:ascii="仿宋_GB2312" w:hAnsi="黑体"/>
          <w:b/>
          <w:bCs/>
          <w:color w:val="auto"/>
          <w:highlight w:val="none"/>
        </w:rPr>
        <w:t>新华街道完成</w:t>
      </w:r>
      <w:r>
        <w:rPr>
          <w:rFonts w:hint="eastAsia" w:ascii="仿宋_GB2312"/>
          <w:b/>
          <w:bCs/>
          <w:color w:val="auto"/>
          <w:highlight w:val="none"/>
        </w:rPr>
        <w:t>收入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3,214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、支出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2,690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；（5）</w:t>
      </w:r>
      <w:r>
        <w:rPr>
          <w:rFonts w:hint="eastAsia" w:ascii="仿宋_GB2312" w:hAnsi="黑体"/>
          <w:b/>
          <w:bCs/>
          <w:color w:val="auto"/>
          <w:highlight w:val="none"/>
        </w:rPr>
        <w:t>昌盛街道完成</w:t>
      </w:r>
      <w:r>
        <w:rPr>
          <w:rFonts w:hint="eastAsia" w:ascii="仿宋_GB2312"/>
          <w:b/>
          <w:bCs/>
          <w:color w:val="auto"/>
          <w:highlight w:val="none"/>
        </w:rPr>
        <w:t>收入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1,540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、支出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2,811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万元；（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6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）明阳</w:t>
      </w:r>
      <w:r>
        <w:rPr>
          <w:rFonts w:hint="eastAsia" w:ascii="仿宋_GB2312" w:hAnsi="黑体"/>
          <w:b/>
          <w:bCs/>
          <w:color w:val="auto"/>
          <w:highlight w:val="none"/>
        </w:rPr>
        <w:t>街道完成</w:t>
      </w:r>
      <w:r>
        <w:rPr>
          <w:rFonts w:hint="eastAsia" w:ascii="仿宋_GB2312"/>
          <w:b/>
          <w:bCs/>
          <w:color w:val="auto"/>
          <w:highlight w:val="none"/>
        </w:rPr>
        <w:t>收入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2,348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、支出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2,850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/>
          <w:b/>
          <w:bCs/>
          <w:color w:val="auto"/>
          <w:highlight w:val="none"/>
        </w:rPr>
        <w:t>。</w:t>
      </w:r>
    </w:p>
    <w:p>
      <w:pPr>
        <w:spacing w:line="620" w:lineRule="exact"/>
        <w:ind w:firstLine="465" w:firstLineChars="147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（二）政府性基金预算执行情况</w:t>
      </w:r>
    </w:p>
    <w:p>
      <w:pPr>
        <w:spacing w:line="620" w:lineRule="exact"/>
        <w:ind w:firstLine="632" w:firstLineChars="200"/>
        <w:rPr>
          <w:rFonts w:hint="default" w:ascii="仿宋_GB2312" w:hAnsi="黑体"/>
          <w:b/>
          <w:bCs/>
          <w:color w:val="auto"/>
          <w:highlight w:val="none"/>
          <w:lang w:val="en-US"/>
        </w:rPr>
      </w:pPr>
      <w:r>
        <w:rPr>
          <w:rFonts w:hint="eastAsia" w:ascii="仿宋_GB2312" w:hAnsi="黑体"/>
          <w:b/>
          <w:bCs/>
          <w:color w:val="auto"/>
          <w:highlight w:val="none"/>
        </w:rPr>
        <w:t>全市政府性基金预算收入</w:t>
      </w:r>
      <w:r>
        <w:rPr>
          <w:rFonts w:hint="eastAsia" w:ascii="仿宋_GB2312" w:hAnsi="黑体"/>
          <w:b/>
          <w:bCs/>
          <w:color w:val="auto"/>
          <w:highlight w:val="none"/>
          <w:lang w:val="en-US" w:eastAsia="zh-CN"/>
        </w:rPr>
        <w:t>19,151</w:t>
      </w:r>
      <w:r>
        <w:rPr>
          <w:rFonts w:hint="eastAsia" w:ascii="仿宋_GB2312" w:hAnsi="黑体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 w:hAnsi="黑体"/>
          <w:b/>
          <w:bCs/>
          <w:color w:val="auto"/>
          <w:highlight w:val="none"/>
        </w:rPr>
        <w:t>，</w:t>
      </w:r>
      <w:r>
        <w:rPr>
          <w:rFonts w:hint="eastAsia" w:ascii="仿宋_GB2312"/>
          <w:b/>
          <w:bCs/>
          <w:color w:val="auto"/>
          <w:highlight w:val="none"/>
        </w:rPr>
        <w:t>完成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年初预算的</w:t>
      </w:r>
      <w:r>
        <w:rPr>
          <w:rFonts w:hint="eastAsia" w:ascii="仿宋_GB2312" w:hAnsi="黑体"/>
          <w:b/>
          <w:bCs/>
          <w:color w:val="auto"/>
          <w:highlight w:val="none"/>
          <w:lang w:val="en-US" w:eastAsia="zh-CN"/>
        </w:rPr>
        <w:t>13.6</w:t>
      </w:r>
      <w:r>
        <w:rPr>
          <w:rFonts w:hint="eastAsia" w:ascii="仿宋_GB2312" w:hAnsi="黑体"/>
          <w:b/>
          <w:bCs/>
          <w:color w:val="auto"/>
          <w:highlight w:val="none"/>
        </w:rPr>
        <w:t>%，</w:t>
      </w:r>
      <w:r>
        <w:rPr>
          <w:rFonts w:hint="eastAsia" w:ascii="仿宋_GB2312" w:hAnsi="黑体"/>
          <w:b/>
          <w:bCs/>
          <w:color w:val="auto"/>
          <w:highlight w:val="none"/>
          <w:lang w:eastAsia="zh-CN"/>
        </w:rPr>
        <w:t>下降</w:t>
      </w:r>
      <w:r>
        <w:rPr>
          <w:rFonts w:hint="eastAsia" w:ascii="仿宋_GB2312" w:hAnsi="黑体"/>
          <w:b/>
          <w:bCs/>
          <w:color w:val="auto"/>
          <w:highlight w:val="none"/>
          <w:lang w:val="en-US" w:eastAsia="zh-CN"/>
        </w:rPr>
        <w:t>66.1%</w:t>
      </w:r>
      <w:r>
        <w:rPr>
          <w:rFonts w:hint="eastAsia" w:ascii="仿宋_GB2312" w:hAnsi="黑体"/>
          <w:b/>
          <w:bCs/>
          <w:color w:val="auto"/>
          <w:sz w:val="30"/>
          <w:szCs w:val="30"/>
          <w:highlight w:val="none"/>
          <w:lang w:val="en-US" w:eastAsia="zh-CN"/>
        </w:rPr>
        <w:t>（主要是受疫情及房地产市场低迷等因素影响，土地出让收入大幅减少）</w:t>
      </w:r>
      <w:r>
        <w:rPr>
          <w:rFonts w:hint="eastAsia" w:ascii="仿宋_GB2312" w:hAnsi="黑体"/>
          <w:b/>
          <w:bCs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仿宋_GB2312" w:hAnsi="黑体"/>
          <w:b/>
          <w:bCs/>
          <w:color w:val="auto"/>
          <w:highlight w:val="none"/>
          <w:lang w:val="en-US" w:eastAsia="zh-CN"/>
        </w:rPr>
        <w:t>上级转移支付3,044万元，上年结余收入7,281万元，调入资金20,460万元，政府性基金总收入49,936万元；</w:t>
      </w:r>
      <w:r>
        <w:rPr>
          <w:rFonts w:hint="eastAsia" w:ascii="仿宋_GB2312" w:hAnsi="黑体"/>
          <w:b/>
          <w:bCs/>
          <w:color w:val="auto"/>
          <w:highlight w:val="none"/>
        </w:rPr>
        <w:t>支出</w:t>
      </w:r>
      <w:r>
        <w:rPr>
          <w:rFonts w:hint="eastAsia" w:ascii="仿宋_GB2312" w:hAnsi="黑体"/>
          <w:b/>
          <w:bCs/>
          <w:color w:val="auto"/>
          <w:highlight w:val="none"/>
          <w:lang w:val="en-US" w:eastAsia="zh-CN"/>
        </w:rPr>
        <w:t>34,510</w:t>
      </w:r>
      <w:r>
        <w:rPr>
          <w:rFonts w:hint="eastAsia" w:ascii="仿宋_GB2312" w:hAnsi="黑体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 w:hAnsi="黑体"/>
          <w:b/>
          <w:bCs/>
          <w:color w:val="auto"/>
          <w:highlight w:val="none"/>
        </w:rPr>
        <w:t>，</w:t>
      </w:r>
      <w:r>
        <w:rPr>
          <w:rFonts w:hint="eastAsia" w:ascii="仿宋_GB2312" w:hAnsi="黑体"/>
          <w:b/>
          <w:bCs/>
          <w:color w:val="auto"/>
          <w:highlight w:val="none"/>
          <w:lang w:eastAsia="zh-CN"/>
        </w:rPr>
        <w:t>调出资金</w:t>
      </w:r>
      <w:r>
        <w:rPr>
          <w:rFonts w:hint="eastAsia" w:ascii="仿宋_GB2312" w:hAnsi="黑体"/>
          <w:b/>
          <w:bCs/>
          <w:color w:val="auto"/>
          <w:highlight w:val="none"/>
          <w:lang w:val="en-US" w:eastAsia="zh-CN"/>
        </w:rPr>
        <w:t>4,723万元，</w:t>
      </w:r>
      <w:r>
        <w:rPr>
          <w:rFonts w:hint="eastAsia" w:ascii="仿宋_GB2312" w:hAnsi="黑体"/>
          <w:b/>
          <w:bCs/>
          <w:color w:val="auto"/>
          <w:highlight w:val="none"/>
          <w:lang w:eastAsia="zh-CN"/>
        </w:rPr>
        <w:t>结余</w:t>
      </w:r>
      <w:r>
        <w:rPr>
          <w:rFonts w:hint="eastAsia" w:ascii="仿宋_GB2312" w:hAnsi="黑体"/>
          <w:b/>
          <w:bCs/>
          <w:color w:val="auto"/>
          <w:highlight w:val="none"/>
          <w:lang w:val="en-US" w:eastAsia="zh-CN"/>
        </w:rPr>
        <w:t>10,703万元，按规结转下年使用。</w:t>
      </w:r>
    </w:p>
    <w:p>
      <w:pPr>
        <w:spacing w:line="620" w:lineRule="exact"/>
        <w:ind w:firstLine="465" w:firstLineChars="147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（三）国有资本经营预算执行情况</w:t>
      </w:r>
    </w:p>
    <w:p>
      <w:pPr>
        <w:spacing w:line="620" w:lineRule="exact"/>
        <w:ind w:firstLine="632" w:firstLineChars="200"/>
        <w:rPr>
          <w:rFonts w:hint="eastAsia" w:ascii="仿宋_GB2312"/>
          <w:b/>
          <w:bCs/>
          <w:color w:val="auto"/>
          <w:highlight w:val="none"/>
          <w:lang w:val="en-US" w:eastAsia="zh-CN"/>
        </w:rPr>
      </w:pPr>
      <w:r>
        <w:rPr>
          <w:rFonts w:hint="eastAsia" w:ascii="仿宋_GB2312"/>
          <w:b/>
          <w:bCs/>
          <w:color w:val="auto"/>
          <w:highlight w:val="none"/>
        </w:rPr>
        <w:t>全市国有资本经营预算</w:t>
      </w:r>
      <w:r>
        <w:rPr>
          <w:rFonts w:hint="eastAsia" w:ascii="仿宋_GB2312" w:hAnsi="黑体"/>
          <w:b/>
          <w:bCs/>
          <w:color w:val="auto"/>
          <w:highlight w:val="none"/>
        </w:rPr>
        <w:t>收入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77</w:t>
      </w:r>
      <w:r>
        <w:rPr>
          <w:rFonts w:hint="eastAsia" w:ascii="仿宋_GB2312"/>
          <w:b/>
          <w:bCs/>
          <w:color w:val="auto"/>
          <w:highlight w:val="none"/>
        </w:rPr>
        <w:t>万元，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完成年初预算的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46.7%，下降51.3%（</w:t>
      </w:r>
      <w:r>
        <w:rPr>
          <w:rFonts w:hint="eastAsia" w:ascii="仿宋_GB2312" w:hAnsi="黑体"/>
          <w:b/>
          <w:bCs/>
          <w:color w:val="auto"/>
          <w:sz w:val="30"/>
          <w:szCs w:val="30"/>
          <w:highlight w:val="none"/>
          <w:lang w:val="en-US" w:eastAsia="zh-CN"/>
        </w:rPr>
        <w:t>主要是保安服务公司因政策原因需补缴员工社会保险导致企业亏损，无法上缴国有资本收益</w:t>
      </w:r>
      <w:r>
        <w:rPr>
          <w:rFonts w:hint="eastAsia" w:ascii="仿宋_GB2312"/>
          <w:b/>
          <w:bCs/>
          <w:color w:val="auto"/>
          <w:highlight w:val="none"/>
          <w:lang w:val="en-US" w:eastAsia="zh-CN"/>
        </w:rPr>
        <w:t>）。</w:t>
      </w:r>
    </w:p>
    <w:p>
      <w:pPr>
        <w:spacing w:line="620" w:lineRule="exact"/>
        <w:ind w:firstLine="632" w:firstLineChars="200"/>
        <w:rPr>
          <w:rFonts w:ascii="仿宋_GB2312"/>
          <w:b/>
          <w:bCs/>
          <w:color w:val="auto"/>
          <w:highlight w:val="none"/>
        </w:rPr>
      </w:pPr>
      <w:r>
        <w:rPr>
          <w:rFonts w:hint="eastAsia" w:ascii="仿宋_GB2312"/>
          <w:b/>
          <w:bCs/>
          <w:color w:val="auto"/>
          <w:highlight w:val="none"/>
          <w:lang w:eastAsia="zh-CN"/>
        </w:rPr>
        <w:t>全市</w:t>
      </w:r>
      <w:r>
        <w:rPr>
          <w:rFonts w:hint="eastAsia" w:ascii="仿宋_GB2312"/>
          <w:b/>
          <w:bCs/>
          <w:color w:val="auto"/>
          <w:highlight w:val="none"/>
        </w:rPr>
        <w:t>国有资本经营预</w:t>
      </w:r>
      <w:r>
        <w:rPr>
          <w:rFonts w:hint="eastAsia" w:ascii="仿宋_GB2312"/>
          <w:b/>
          <w:bCs/>
          <w:color w:val="auto"/>
          <w:highlight w:val="none"/>
          <w:lang w:eastAsia="zh-CN"/>
        </w:rPr>
        <w:t>算</w:t>
      </w:r>
      <w:r>
        <w:rPr>
          <w:rFonts w:hint="eastAsia" w:ascii="仿宋_GB2312" w:hAnsi="黑体"/>
          <w:b/>
          <w:bCs/>
          <w:color w:val="auto"/>
          <w:highlight w:val="none"/>
        </w:rPr>
        <w:t>不</w:t>
      </w:r>
      <w:r>
        <w:rPr>
          <w:rFonts w:hint="eastAsia" w:ascii="仿宋_GB2312" w:hAnsi="黑体"/>
          <w:b/>
          <w:bCs/>
          <w:color w:val="auto"/>
          <w:highlight w:val="none"/>
          <w:lang w:eastAsia="zh-CN"/>
        </w:rPr>
        <w:t>安排</w:t>
      </w:r>
      <w:r>
        <w:rPr>
          <w:rFonts w:hint="eastAsia" w:ascii="仿宋_GB2312" w:hAnsi="黑体"/>
          <w:b/>
          <w:bCs/>
          <w:color w:val="auto"/>
          <w:highlight w:val="none"/>
        </w:rPr>
        <w:t>支出，全部</w:t>
      </w:r>
      <w:r>
        <w:rPr>
          <w:rFonts w:hint="eastAsia" w:ascii="仿宋_GB2312" w:hAnsi="黑体"/>
          <w:b/>
          <w:bCs/>
          <w:color w:val="auto"/>
          <w:highlight w:val="none"/>
          <w:lang w:eastAsia="zh-CN"/>
        </w:rPr>
        <w:t>调入</w:t>
      </w:r>
      <w:r>
        <w:rPr>
          <w:rFonts w:hint="eastAsia" w:ascii="仿宋_GB2312" w:hAnsi="黑体"/>
          <w:b/>
          <w:bCs/>
          <w:color w:val="auto"/>
          <w:highlight w:val="none"/>
        </w:rPr>
        <w:t>一般公共预算。</w:t>
      </w:r>
    </w:p>
    <w:p>
      <w:pPr>
        <w:spacing w:line="620" w:lineRule="exact"/>
        <w:ind w:firstLine="465" w:firstLineChars="147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（四）社会保险基金预算执行情况</w:t>
      </w:r>
    </w:p>
    <w:p>
      <w:pPr>
        <w:spacing w:line="620" w:lineRule="exact"/>
        <w:ind w:firstLine="632" w:firstLineChars="200"/>
        <w:rPr>
          <w:rFonts w:hint="eastAsia" w:ascii="仿宋_GB2312" w:hAnsi="宋体"/>
          <w:b/>
          <w:bCs/>
          <w:color w:val="auto"/>
          <w:highlight w:val="none"/>
          <w:lang w:eastAsia="zh-CN"/>
        </w:rPr>
      </w:pPr>
      <w:r>
        <w:rPr>
          <w:rFonts w:hint="eastAsia" w:ascii="仿宋_GB2312" w:hAnsi="仿宋_GB2312" w:cs="仿宋_GB2312"/>
          <w:b/>
          <w:bCs/>
          <w:color w:val="auto"/>
          <w:highlight w:val="none"/>
        </w:rPr>
        <w:t>我市负责统筹的是机关事业单位养老保险基金</w:t>
      </w:r>
      <w:r>
        <w:rPr>
          <w:rFonts w:hint="eastAsia" w:ascii="仿宋_GB2312" w:hAnsi="仿宋_GB2312" w:cs="仿宋_GB2312"/>
          <w:b/>
          <w:bCs/>
          <w:color w:val="auto"/>
          <w:sz w:val="30"/>
          <w:szCs w:val="30"/>
          <w:highlight w:val="none"/>
        </w:rPr>
        <w:t>（均为市本级），</w:t>
      </w:r>
      <w:r>
        <w:rPr>
          <w:rFonts w:hint="eastAsia" w:ascii="仿宋_GB2312" w:hAnsi="仿宋_GB2312" w:cs="仿宋_GB2312"/>
          <w:b/>
          <w:bCs/>
          <w:color w:val="auto"/>
          <w:highlight w:val="none"/>
        </w:rPr>
        <w:t>收入8</w:t>
      </w:r>
      <w:r>
        <w:rPr>
          <w:rFonts w:hint="eastAsia" w:ascii="仿宋_GB2312" w:hAnsi="仿宋_GB2312" w:cs="仿宋_GB2312"/>
          <w:b/>
          <w:bCs/>
          <w:color w:val="auto"/>
          <w:highlight w:val="none"/>
          <w:lang w:val="en-US" w:eastAsia="zh-CN"/>
        </w:rPr>
        <w:t>4,095</w:t>
      </w:r>
      <w:r>
        <w:rPr>
          <w:rFonts w:hint="eastAsia" w:ascii="仿宋_GB2312" w:hAnsi="仿宋_GB2312"/>
          <w:b/>
          <w:bCs/>
          <w:color w:val="auto"/>
          <w:highlight w:val="none"/>
          <w:lang w:eastAsia="zh-CN"/>
        </w:rPr>
        <w:t>万元，</w:t>
      </w:r>
      <w:r>
        <w:rPr>
          <w:rFonts w:hint="eastAsia" w:ascii="仿宋_GB2312" w:hAnsi="宋体"/>
          <w:b/>
          <w:bCs/>
          <w:color w:val="auto"/>
          <w:highlight w:val="none"/>
          <w:lang w:eastAsia="zh-CN"/>
        </w:rPr>
        <w:t>其中财政补助收入55,150万元</w:t>
      </w:r>
      <w:r>
        <w:rPr>
          <w:rFonts w:hint="eastAsia" w:ascii="仿宋_GB2312" w:hAnsi="宋体"/>
          <w:b/>
          <w:bCs/>
          <w:color w:val="auto"/>
          <w:sz w:val="28"/>
          <w:szCs w:val="28"/>
          <w:highlight w:val="none"/>
          <w:lang w:eastAsia="zh-CN"/>
        </w:rPr>
        <w:t>（一般公共预算中在“ 机关事业单位基本养老保险基金财政补助收入”科目反映）</w:t>
      </w:r>
      <w:r>
        <w:rPr>
          <w:rFonts w:hint="eastAsia" w:ascii="仿宋_GB2312" w:hAnsi="仿宋_GB2312"/>
          <w:b/>
          <w:bCs/>
          <w:color w:val="auto"/>
          <w:highlight w:val="none"/>
        </w:rPr>
        <w:t>；</w:t>
      </w:r>
      <w:r>
        <w:rPr>
          <w:rFonts w:hint="eastAsia" w:ascii="仿宋_GB2312" w:hAnsi="宋体"/>
          <w:b/>
          <w:bCs/>
          <w:color w:val="auto"/>
          <w:highlight w:val="none"/>
        </w:rPr>
        <w:t>支出84,095</w:t>
      </w:r>
      <w:r>
        <w:rPr>
          <w:rFonts w:hint="eastAsia" w:ascii="仿宋_GB2312" w:hAnsi="仿宋_GB2312"/>
          <w:b/>
          <w:bCs/>
          <w:color w:val="auto"/>
          <w:highlight w:val="none"/>
          <w:lang w:eastAsia="zh-CN"/>
        </w:rPr>
        <w:t>万元</w:t>
      </w:r>
      <w:r>
        <w:rPr>
          <w:rFonts w:hint="eastAsia" w:ascii="仿宋_GB2312" w:hAnsi="宋体"/>
          <w:b/>
          <w:bCs/>
          <w:color w:val="auto"/>
          <w:highlight w:val="none"/>
          <w:lang w:eastAsia="zh-CN"/>
        </w:rPr>
        <w:t>。</w:t>
      </w:r>
    </w:p>
    <w:p>
      <w:pPr>
        <w:spacing w:line="620" w:lineRule="exact"/>
        <w:ind w:firstLine="632" w:firstLineChars="200"/>
        <w:rPr>
          <w:rFonts w:hint="eastAsia" w:ascii="仿宋_GB2312" w:hAnsi="仿宋_GB2312" w:cs="仿宋_GB2312"/>
          <w:b/>
          <w:bCs/>
          <w:color w:val="auto"/>
          <w:highlight w:val="none"/>
        </w:rPr>
      </w:pPr>
      <w:r>
        <w:rPr>
          <w:rFonts w:hint="eastAsia" w:ascii="仿宋_GB2312" w:hAnsi="仿宋_GB2312" w:cs="仿宋_GB2312"/>
          <w:b/>
          <w:bCs/>
          <w:color w:val="auto"/>
          <w:highlight w:val="none"/>
        </w:rPr>
        <w:t>债务情况。我市</w:t>
      </w:r>
      <w:r>
        <w:rPr>
          <w:rFonts w:hint="eastAsia" w:ascii="仿宋_GB2312" w:hAnsi="仿宋_GB2312" w:cs="仿宋_GB2312"/>
          <w:b/>
          <w:bCs/>
          <w:color w:val="auto"/>
          <w:sz w:val="30"/>
          <w:szCs w:val="30"/>
          <w:highlight w:val="none"/>
          <w:lang w:eastAsia="zh-CN"/>
        </w:rPr>
        <w:t>（含北黄海经开区）</w:t>
      </w:r>
      <w:r>
        <w:rPr>
          <w:rFonts w:hint="eastAsia" w:ascii="仿宋_GB2312" w:hAnsi="仿宋_GB2312" w:cs="仿宋_GB2312"/>
          <w:b/>
          <w:bCs/>
          <w:color w:val="auto"/>
          <w:highlight w:val="none"/>
        </w:rPr>
        <w:t>由上级政府代发再融资债券</w:t>
      </w:r>
      <w:r>
        <w:rPr>
          <w:rFonts w:hint="eastAsia" w:ascii="仿宋_GB2312" w:hAnsi="仿宋_GB2312" w:cs="仿宋_GB2312"/>
          <w:b/>
          <w:bCs/>
          <w:color w:val="auto"/>
          <w:highlight w:val="none"/>
          <w:lang w:val="en-US" w:eastAsia="zh-CN"/>
        </w:rPr>
        <w:t>37.43亿</w:t>
      </w:r>
      <w:r>
        <w:rPr>
          <w:rFonts w:hint="eastAsia" w:ascii="仿宋_GB2312" w:hAnsi="仿宋_GB2312" w:cs="仿宋_GB2312"/>
          <w:b/>
          <w:bCs/>
          <w:color w:val="auto"/>
          <w:highlight w:val="none"/>
          <w:lang w:eastAsia="zh-CN"/>
        </w:rPr>
        <w:t>元</w:t>
      </w:r>
      <w:r>
        <w:rPr>
          <w:rFonts w:hint="eastAsia" w:ascii="仿宋_GB2312" w:hAnsi="仿宋_GB2312" w:cs="仿宋_GB2312"/>
          <w:b/>
          <w:bCs/>
          <w:color w:val="auto"/>
          <w:highlight w:val="none"/>
        </w:rPr>
        <w:t>，及时置换了到期债务；政府债务余额</w:t>
      </w:r>
      <w:r>
        <w:rPr>
          <w:rFonts w:hint="eastAsia" w:ascii="仿宋_GB2312" w:hAnsi="仿宋_GB2312" w:cs="仿宋_GB2312"/>
          <w:b/>
          <w:bCs/>
          <w:color w:val="auto"/>
          <w:highlight w:val="none"/>
          <w:lang w:val="en-US" w:eastAsia="zh-CN"/>
        </w:rPr>
        <w:t>245.57</w:t>
      </w:r>
      <w:r>
        <w:rPr>
          <w:rFonts w:hint="eastAsia" w:ascii="仿宋_GB2312" w:hAnsi="仿宋_GB2312" w:cs="仿宋_GB2312"/>
          <w:b/>
          <w:bCs/>
          <w:color w:val="auto"/>
          <w:highlight w:val="none"/>
          <w:lang w:eastAsia="zh-CN"/>
        </w:rPr>
        <w:t>亿元</w:t>
      </w:r>
      <w:r>
        <w:rPr>
          <w:rFonts w:hint="eastAsia" w:ascii="仿宋_GB2312" w:hAnsi="仿宋_GB2312" w:cs="仿宋_GB2312"/>
          <w:b/>
          <w:bCs/>
          <w:color w:val="auto"/>
          <w:highlight w:val="none"/>
        </w:rPr>
        <w:t>，控制在上级政府下达的债务限额以内。</w:t>
      </w:r>
    </w:p>
    <w:p>
      <w:pPr>
        <w:spacing w:line="620" w:lineRule="exact"/>
        <w:ind w:firstLine="623" w:firstLineChars="197"/>
        <w:rPr>
          <w:rFonts w:hint="eastAsia" w:ascii="黑体" w:hAnsi="黑体" w:eastAsia="黑体" w:cs="黑体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二、2022年财政主要工作</w:t>
      </w:r>
    </w:p>
    <w:p>
      <w:pPr>
        <w:spacing w:line="620" w:lineRule="exact"/>
        <w:ind w:firstLine="465" w:firstLineChars="147"/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（一）坚定落实减税降费，拓宽财政增收渠道</w:t>
      </w:r>
    </w:p>
    <w:p>
      <w:pPr>
        <w:numPr>
          <w:ilvl w:val="0"/>
          <w:numId w:val="0"/>
        </w:numPr>
        <w:ind w:firstLine="632" w:firstLineChars="200"/>
        <w:rPr>
          <w:rFonts w:hint="eastAsia" w:ascii="仿宋_GB2312"/>
          <w:b/>
          <w:bCs/>
          <w:highlight w:val="none"/>
          <w:lang w:val="en-US" w:eastAsia="zh-CN"/>
        </w:rPr>
      </w:pPr>
      <w:r>
        <w:rPr>
          <w:rFonts w:hint="eastAsia" w:ascii="仿宋_GB2312"/>
          <w:b/>
          <w:bCs/>
          <w:highlight w:val="none"/>
          <w:lang w:val="en-US" w:eastAsia="zh-CN"/>
        </w:rPr>
        <w:t>一是推动减税降费政策落实到位，确保政策红利落地，全年减免各类税费2.5亿元，有效激发市场主体发展活力；二是积极组织财政收入，坚持依法征收、应收尽收，全市一般公共预算收入预计完成57.5亿元，同比增长17.2%，收入总量及增幅位居大连前列；三是着力争取上级支持，紧盯国家政策，跟踪资金走向，全年争取转移支付资金39.6亿元，为我市财政平稳运行提供坚实财力保障。</w:t>
      </w:r>
    </w:p>
    <w:p>
      <w:pPr>
        <w:spacing w:line="620" w:lineRule="exact"/>
        <w:ind w:firstLine="465" w:firstLineChars="147"/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（二）强化财政资金管理，保障重点支出需求</w:t>
      </w:r>
    </w:p>
    <w:p>
      <w:pPr>
        <w:numPr>
          <w:ilvl w:val="0"/>
          <w:numId w:val="0"/>
        </w:numPr>
        <w:ind w:firstLine="632" w:firstLineChars="200"/>
        <w:rPr>
          <w:rFonts w:hint="eastAsia" w:ascii="仿宋_GB2312"/>
          <w:b/>
          <w:bCs/>
          <w:highlight w:val="none"/>
          <w:lang w:val="en-US" w:eastAsia="zh-CN"/>
        </w:rPr>
      </w:pPr>
      <w:r>
        <w:rPr>
          <w:rFonts w:hint="eastAsia" w:ascii="仿宋_GB2312"/>
          <w:b/>
          <w:bCs/>
          <w:highlight w:val="none"/>
          <w:lang w:val="en-US" w:eastAsia="zh-CN"/>
        </w:rPr>
        <w:t>一是健全财政资金统筹使用长效机制，积极调整优化支出结构，提升财政保障能力，促进财政可持续发展；二是政府带头过“紧日子”，按轻重缓急合理安排支出，全力兜牢“三保”底线，大力压减一般性支出，全市压减一般性支出2.76亿元，压减比例达到20%；三是完善财政直达资金常态机制，不断提升直达资金使用效益和管理水平，切实发挥惠企利民实效，全年共下达直达资金15.61亿元；四是加大存量资金盘活力度，对部门支出缓慢资金、结转结余资金和长期沉淀资金全部收回财政，累计收回6,017万元，统筹用于保障重点领域支出。</w:t>
      </w:r>
    </w:p>
    <w:p>
      <w:pPr>
        <w:spacing w:line="620" w:lineRule="exact"/>
        <w:ind w:firstLine="465" w:firstLineChars="147"/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（三）持续加大民生投入，推动社会事业发展</w:t>
      </w:r>
    </w:p>
    <w:p>
      <w:pPr>
        <w:numPr>
          <w:ilvl w:val="0"/>
          <w:numId w:val="0"/>
        </w:numPr>
        <w:ind w:firstLine="632" w:firstLineChars="200"/>
        <w:rPr>
          <w:rFonts w:hint="eastAsia" w:ascii="仿宋_GB2312"/>
          <w:b/>
          <w:bCs/>
          <w:highlight w:val="none"/>
          <w:lang w:val="en-US" w:eastAsia="zh-CN"/>
        </w:rPr>
      </w:pPr>
      <w:r>
        <w:rPr>
          <w:rFonts w:hint="eastAsia" w:ascii="仿宋_GB2312"/>
          <w:b/>
          <w:bCs/>
          <w:highlight w:val="none"/>
          <w:lang w:val="en-US" w:eastAsia="zh-CN"/>
        </w:rPr>
        <w:t>一是落实就业优先政策，投入5,661万元，落实就业创业扶持政策、失业保障政策，支持开展多层次职业技能培训，做好重点群体就业工作；二是完善社会救助政策，投入24,821万元，落实各类困难群众救助政策，最低生活保障标准提高至每月850元，特困人员保障标准提高至每月1700元；三是建立优抚对象安置体系，投入6,205万元，落实优抚对象基本生活保障政策，发放优抚人员各类抚恤金、岗位补贴等帮扶资金；四是促进教育高质量发展，投入88,545万元，完善教育经费保障机制，逐步提高教师薪酬待遇，加快教育基础设施建设；五是保障公共卫生安全，投入22,134万元，持续开展常态化疫情防控，提升基层医疗卫生机构服务能力，基本公共卫生服务经费人均补助标准提高至84元。</w:t>
      </w:r>
    </w:p>
    <w:p>
      <w:pPr>
        <w:spacing w:line="620" w:lineRule="exact"/>
        <w:ind w:firstLine="465" w:firstLineChars="147"/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（四）扎实推进财政改革，不断提升管理水平</w:t>
      </w:r>
    </w:p>
    <w:p>
      <w:pPr>
        <w:numPr>
          <w:ilvl w:val="0"/>
          <w:numId w:val="0"/>
        </w:numPr>
        <w:ind w:firstLine="632" w:firstLineChars="200"/>
        <w:rPr>
          <w:rFonts w:hint="default" w:ascii="仿宋_GB2312"/>
          <w:b/>
          <w:bCs/>
          <w:lang w:val="en-US" w:eastAsia="zh-CN"/>
        </w:rPr>
      </w:pPr>
      <w:r>
        <w:rPr>
          <w:rFonts w:hint="eastAsia" w:ascii="仿宋_GB2312"/>
          <w:b/>
          <w:bCs/>
          <w:highlight w:val="none"/>
          <w:lang w:val="en-US" w:eastAsia="zh-CN"/>
        </w:rPr>
        <w:t>一是加快推进预算一体化建设，按照上级统一部署，我市预算管理一体化系统成功上线运行，覆盖了全市市乡两级192个预算单位，实现了主体全覆盖；二是全面实施预算绩效管理，将预算绩效管理贯穿预算编制、执行、决算全过程。本级预算项目全部同步编制绩效目标，并开展绩效监控，逐步提高绩效自评及重点绩效评价质量；三是持续深化国企改</w:t>
      </w:r>
      <w:r>
        <w:rPr>
          <w:rFonts w:hint="eastAsia" w:ascii="仿宋_GB2312"/>
          <w:b/>
          <w:bCs/>
          <w:lang w:val="en-US" w:eastAsia="zh-CN"/>
        </w:rPr>
        <w:t>革，组建农粮集团，出台国企负责人薪酬管理、业绩考核等相关办法，协助组建国企董事会，完善现代企业制度，健全法人治理结构，提升经营管理水平。</w:t>
      </w:r>
    </w:p>
    <w:p>
      <w:pPr>
        <w:spacing w:line="620" w:lineRule="exact"/>
        <w:ind w:firstLine="632" w:firstLineChars="200"/>
        <w:rPr>
          <w:rFonts w:hint="eastAsia" w:ascii="仿宋_GB2312"/>
          <w:b/>
          <w:bCs/>
          <w:lang w:val="en-US" w:eastAsia="zh-CN"/>
        </w:rPr>
      </w:pPr>
      <w:r>
        <w:rPr>
          <w:rFonts w:hint="eastAsia" w:ascii="仿宋_GB2312"/>
          <w:b/>
          <w:bCs/>
          <w:lang w:val="en-US" w:eastAsia="zh-CN"/>
        </w:rPr>
        <w:t>2022年，全市各级各部门上下同心、众志成城，有效应对了新冠疫情和严峻复杂经济形势的考验，实现了财政收支平稳运行，保障了经济社会发展各项重点任务的有序推进，成绩来之不易。同时我们也清醒地认识到，预算执行和财政管理还面临一些困难和挑战：一是财政收入增收基础不牢固，一次性收入较多，收入结构不合理；二是重点保障领域支出呈刚性增长，预算平衡难度加大，财政收支矛盾日益突出；三是债务化解和“三保”支出压力大，风险隐患不容忽视。对这些问题，我们将积极采取措施，努力加以解决。</w:t>
      </w:r>
    </w:p>
    <w:p>
      <w:pPr>
        <w:spacing w:line="620" w:lineRule="exact"/>
        <w:ind w:firstLine="623" w:firstLineChars="197"/>
        <w:rPr>
          <w:rFonts w:hint="eastAsia" w:ascii="黑体" w:hAnsi="黑体" w:eastAsia="黑体" w:cs="黑体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、202</w:t>
      </w:r>
      <w:r>
        <w:rPr>
          <w:rFonts w:hint="eastAsia" w:ascii="黑体" w:hAnsi="黑体" w:eastAsia="黑体" w:cs="黑体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黑体" w:hAnsi="黑体" w:eastAsia="黑体" w:cs="黑体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年预算草案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40" w:lineRule="exact"/>
        <w:ind w:firstLine="632" w:firstLineChars="200"/>
        <w:jc w:val="both"/>
        <w:rPr>
          <w:rFonts w:hint="eastAsia" w:ascii="仿宋_GB2312" w:hAnsi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我市20</w:t>
      </w:r>
      <w:r>
        <w:rPr>
          <w:rFonts w:hint="eastAsia" w:ascii="仿宋_GB2312" w:hAnsi="仿宋_GB2312"/>
          <w:b/>
          <w:bCs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年预算编制的指导思想是：</w:t>
      </w:r>
      <w:r>
        <w:rPr>
          <w:rFonts w:hint="eastAsia" w:ascii="仿宋_GB2312" w:hAnsi="仿宋_GB2312"/>
          <w:b/>
          <w:bCs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习近平新时代中国特色社会主义思想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为指导，全面深入贯彻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党的</w:t>
      </w:r>
      <w:r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  <w:t>二十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大精神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坚决落实</w:t>
      </w:r>
      <w:r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  <w:t>上级要求和市委、市政府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决策部署，</w:t>
      </w:r>
      <w:r>
        <w:rPr>
          <w:rFonts w:hint="eastAsia" w:ascii="仿宋_GB2312" w:hAnsi="仿宋_GB2312"/>
          <w:b/>
          <w:bCs/>
          <w:sz w:val="32"/>
          <w:szCs w:val="32"/>
          <w:lang w:eastAsia="zh-CN"/>
        </w:rPr>
        <w:t>加强财政资源统筹，坚决落实过“紧日子”要求，把宝贵的财政资金用在最困难的地方、最急需的领域，统筹疫情防控和经济社会发展，全面做好“六稳”工作、落实“六保”任务，深入推进财政各项改革，优化支出结构，提高资金使用效益，保障我市经济社会持续健康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40" w:lineRule="exact"/>
        <w:ind w:firstLine="632" w:firstLineChars="200"/>
        <w:jc w:val="both"/>
        <w:rPr>
          <w:rFonts w:hint="eastAsia"/>
          <w:lang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遵循上述思想，编成我市202</w:t>
      </w:r>
      <w:r>
        <w:rPr>
          <w:rFonts w:hint="eastAsia" w:ascii="仿宋_GB2312" w:hAnsi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年财政预算草案</w:t>
      </w:r>
      <w:r>
        <w:rPr>
          <w:rFonts w:hint="eastAsia" w:ascii="仿宋_GB2312" w:hAnsi="仿宋_GB2312" w:eastAsia="仿宋_GB2312"/>
          <w:b/>
          <w:bCs/>
          <w:sz w:val="30"/>
          <w:szCs w:val="30"/>
          <w:lang w:val="en-US" w:eastAsia="zh-CN"/>
        </w:rPr>
        <w:t>（详见附表）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分别如下：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20" w:firstLineChars="196"/>
        <w:jc w:val="both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（一）一般公共预算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20" w:firstLineChars="196"/>
        <w:jc w:val="both"/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  <w:t>1、全市一般公共预算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20" w:firstLineChars="196"/>
        <w:jc w:val="both"/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全市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一般公共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预算收入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586,600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元，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%以上</w:t>
      </w:r>
      <w:r>
        <w:rPr>
          <w:rFonts w:hint="eastAsia" w:ascii="仿宋_GB2312" w:hAnsi="黑体" w:eastAsia="仿宋_GB2312" w:cs="黑体"/>
          <w:b/>
          <w:bCs/>
          <w:sz w:val="30"/>
          <w:szCs w:val="30"/>
          <w:highlight w:val="none"/>
          <w:lang w:eastAsia="zh-CN"/>
        </w:rPr>
        <w:t>（收入预算的增减均指比上年预计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。其中：税收收入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216,120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8.1%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；非税收入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370,480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，下降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1.2%。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当年这一收入，加上上级转移支付收入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175,314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元、调入预算稳定调节基金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2,971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元、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调入国有资本经营预算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650万元、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调入其他资金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5,660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元，全市收入总量为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771,195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20" w:firstLineChars="196"/>
        <w:jc w:val="both"/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支出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694,979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元，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8.4%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黑体" w:eastAsia="仿宋_GB2312" w:cs="黑体"/>
          <w:b/>
          <w:bCs/>
          <w:sz w:val="30"/>
          <w:szCs w:val="30"/>
          <w:highlight w:val="none"/>
          <w:lang w:eastAsia="zh-CN"/>
        </w:rPr>
        <w:t>支出预算的增减均指比上年预算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加上上解上级支出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75,566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、补充预算稳定调节基金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650万元，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全市支出总量为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771,195万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元。收支相抵，预算平衡。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20" w:firstLineChars="196"/>
        <w:jc w:val="both"/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  <w:t>市本级一般公共预算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20" w:firstLineChars="196"/>
        <w:jc w:val="both"/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收入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398,392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元,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1.6%，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其中：税收收入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40,290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，与上年持平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；非税收入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358,102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，下降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1.8%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。当年这一收入，加上上级转移支付收入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175,314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元、下级上解收入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27,485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调入国有资本经营预算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650万元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，市本级收入总量为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601,841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20" w:firstLineChars="196"/>
        <w:jc w:val="both"/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支出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510,674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元，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11.7%，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当年这一支出，加上上解上级支出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75,566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元、补助下级支出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14,951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、补充预算稳定调节基金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650万元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，市本级支出总量为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601,841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元。收支相抵，预算平衡。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20" w:firstLineChars="196"/>
        <w:jc w:val="both"/>
        <w:rPr>
          <w:rFonts w:hint="default" w:ascii="仿宋_GB2312" w:eastAsia="仿宋_GB2312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市本级一般公共预算支出具体安排：</w:t>
      </w:r>
      <w:r>
        <w:rPr>
          <w:rFonts w:hint="eastAsia" w:ascii="楷体_GB2312" w:hAnsi="黑体" w:eastAsia="楷体_GB2312"/>
          <w:b/>
          <w:bCs/>
          <w:sz w:val="32"/>
          <w:szCs w:val="32"/>
          <w:highlight w:val="none"/>
        </w:rPr>
        <w:t>（1）工资性支出</w:t>
      </w:r>
      <w:r>
        <w:rPr>
          <w:rFonts w:hint="eastAsia" w:ascii="楷体_GB2312" w:hAnsi="仿宋_GB2312" w:eastAsia="楷体_GB2312"/>
          <w:b/>
          <w:bCs/>
          <w:sz w:val="32"/>
          <w:szCs w:val="32"/>
          <w:highlight w:val="none"/>
          <w:lang w:val="en-US" w:eastAsia="zh-CN"/>
        </w:rPr>
        <w:t>174,522</w:t>
      </w:r>
      <w:r>
        <w:rPr>
          <w:rFonts w:hint="eastAsia" w:ascii="楷体_GB2312" w:hAnsi="仿宋_GB2312" w:eastAsia="楷体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楷体_GB2312" w:hAnsi="仿宋_GB2312" w:eastAsia="楷体_GB2312"/>
          <w:b/>
          <w:bCs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。</w:t>
      </w:r>
      <w:r>
        <w:rPr>
          <w:rFonts w:hint="eastAsia" w:ascii="楷体_GB2312" w:hAnsi="仿宋_GB2312" w:eastAsia="楷体_GB2312"/>
          <w:b/>
          <w:bCs/>
          <w:sz w:val="32"/>
          <w:szCs w:val="32"/>
          <w:highlight w:val="none"/>
        </w:rPr>
        <w:t>（2）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基本运转支出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10,531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万元。（3）基本民生支出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51,083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万元，按照上级保障标准和本级承担比例，对义务教育和基本的养老保险、就业服务、医疗保障、生活救助、住房保障等基本公共服务事项，作了足额安排。（4）完成特别行政任务支出25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825万元，主要是为安全生产、食品药品监管等专项任务，为支持教育、农林水、自然资源、文化传媒等事业发展提供基本保障。（5）基本建设支出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10,000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万元，主要用于支付工程款。（6）PPP项目和特许经营项目运营补贴支出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71,549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万元。（7）必需的项目支出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20,844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万元，主要用于疫情防控、基层治理现代化、村级党组织服务群众等重点项目。（8）一般债券付息及发行费支出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34,840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万元。（9）预备费安排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12,000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万元。占一般公共预算支出的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2.3%。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（10）养老保险逆差支出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60,180万元。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）预留支出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39,300万元，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主要是绩效考核奖、增人增支结算、十三月奖、新增</w:t>
      </w:r>
      <w:r>
        <w:rPr>
          <w:rFonts w:hint="eastAsia" w:ascii="仿宋_GB2312" w:eastAsia="仿宋_GB2312"/>
          <w:b/>
          <w:sz w:val="32"/>
          <w:szCs w:val="32"/>
          <w:highlight w:val="none"/>
          <w:lang w:val="en-US" w:eastAsia="zh-CN"/>
        </w:rPr>
        <w:t>PPP项目及特许经营项目运营补贴</w:t>
      </w:r>
      <w:r>
        <w:rPr>
          <w:rFonts w:hint="eastAsia" w:ascii="仿宋_GB2312" w:eastAsia="仿宋_GB2312"/>
          <w:b/>
          <w:sz w:val="32"/>
          <w:szCs w:val="32"/>
          <w:highlight w:val="none"/>
          <w:lang w:eastAsia="zh-CN"/>
        </w:rPr>
        <w:t>等现在还难以确定的支出。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23" w:firstLineChars="197"/>
        <w:jc w:val="both"/>
        <w:rPr>
          <w:rFonts w:ascii="仿宋_GB2312" w:eastAsia="仿宋_GB2312"/>
          <w:b/>
          <w:bCs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市对下级转移支付安排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  <w:lang w:val="en-US" w:eastAsia="zh-CN"/>
        </w:rPr>
        <w:t>14,951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元，其中：农村税费改革转移支付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8,526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元，水源地乡镇补助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4,125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元，社区工作者薪酬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2,100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元，其他补助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200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rPr>
          <w:rFonts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楷体_GB2312" w:hAnsi="仿宋_GB2312" w:eastAsia="楷体_GB2312"/>
          <w:b/>
          <w:bCs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楷体_GB2312" w:hAnsi="仿宋_GB2312" w:eastAsia="楷体_GB2312"/>
          <w:b/>
          <w:bCs/>
          <w:sz w:val="32"/>
          <w:szCs w:val="32"/>
          <w:highlight w:val="none"/>
        </w:rPr>
        <w:t>北黄海</w:t>
      </w:r>
      <w:r>
        <w:rPr>
          <w:rFonts w:hint="eastAsia" w:ascii="楷体_GB2312" w:hAnsi="仿宋_GB2312" w:eastAsia="楷体_GB2312"/>
          <w:b/>
          <w:bCs/>
          <w:sz w:val="32"/>
          <w:szCs w:val="32"/>
          <w:highlight w:val="none"/>
          <w:lang w:eastAsia="zh-CN"/>
        </w:rPr>
        <w:t>经开区</w:t>
      </w:r>
      <w:r>
        <w:rPr>
          <w:rFonts w:hint="eastAsia" w:ascii="楷体_GB2312" w:hAnsi="仿宋_GB2312" w:eastAsia="楷体_GB2312"/>
          <w:b/>
          <w:bCs/>
          <w:sz w:val="32"/>
          <w:szCs w:val="32"/>
          <w:highlight w:val="none"/>
        </w:rPr>
        <w:t>和各街道的一般公共预算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  <w:lang w:val="en-US" w:eastAsia="zh-CN"/>
        </w:rPr>
        <w:t>1）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  <w:lang w:eastAsia="zh-CN"/>
        </w:rPr>
        <w:t>北黄海经开区收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</w:rPr>
        <w:t>入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  <w:lang w:val="en-US" w:eastAsia="zh-CN"/>
        </w:rPr>
        <w:t>50,000万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</w:rPr>
        <w:t>元；支出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  <w:lang w:val="en-US" w:eastAsia="zh-CN"/>
        </w:rPr>
        <w:t>37,537万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</w:rPr>
        <w:t>元，加上上解上级支出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  <w:lang w:val="en-US" w:eastAsia="zh-CN"/>
        </w:rPr>
        <w:t>12,463万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</w:rPr>
        <w:t>元，支出总量为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  <w:lang w:val="en-US" w:eastAsia="zh-CN"/>
        </w:rPr>
        <w:t>50,000万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</w:rPr>
        <w:t>元。收支相抵，预算平衡。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  <w:lang w:val="en-US" w:eastAsia="zh-CN"/>
        </w:rPr>
        <w:t>2）</w:t>
      </w:r>
      <w:r>
        <w:rPr>
          <w:rFonts w:hint="eastAsia" w:ascii="仿宋_GB2312" w:hAnsi="楷体_GB2312" w:eastAsia="仿宋_GB2312" w:cs="楷体_GB2312"/>
          <w:b/>
          <w:bCs/>
          <w:color w:val="auto"/>
          <w:sz w:val="32"/>
          <w:szCs w:val="32"/>
          <w:highlight w:val="none"/>
          <w:lang w:eastAsia="zh-CN"/>
        </w:rPr>
        <w:t>城关街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道收入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4,899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，加上上级补助收入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255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万元、调入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预算稳定调节基金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4,830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万元，收入总量为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9,984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万元；支出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6,110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万元，加上上解上级支出3,87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万元，支出总量为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9,984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万元。收支相抵，预算平衡。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（3）兴达街道收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3,591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万元，加上上级补助收入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488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万元，调入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预算稳定调节基金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832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收入总量为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4,911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万元；支出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3,229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万元，加上上解上级支出1,6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82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万元，支出总量为4,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911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万元。收支相抵，预算平衡</w:t>
      </w:r>
      <w:r>
        <w:rPr>
          <w:rFonts w:hint="eastAsia" w:ascii="仿宋_GB2312" w:hAnsi="仿宋_GB2312"/>
          <w:b/>
          <w:bCs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（4）新华街道收入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3,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204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万元，加上上级补助收入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923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万元、调入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资金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1,229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万元，收入总量为5,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356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万元；支出2,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916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万元，加上上解上级支出2,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440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万元，支出总量为5,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356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万元。收支相抵，预算平衡</w:t>
      </w:r>
      <w:r>
        <w:rPr>
          <w:rFonts w:hint="eastAsia" w:ascii="仿宋_GB2312" w:hAnsi="仿宋_GB2312"/>
          <w:b/>
          <w:bCs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（5）昌盛街道收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1,600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万元，加上上级补助收入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393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万元、调入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资金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1,299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万元，收入总量为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3,292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万元；支出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2,518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万元，加上上解上级支出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774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万元，支出总量为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3,292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万元。收支相抵，预算平衡</w:t>
      </w:r>
      <w:r>
        <w:rPr>
          <w:rFonts w:hint="eastAsia" w:ascii="仿宋_GB2312" w:hAnsi="仿宋_GB2312"/>
          <w:b/>
          <w:bCs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）明阳街道收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3,310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万元，加上上级补助收入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751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万元，收入总量为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4,061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万元；支出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3,687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万元，加上上解上级支出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374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万元，支出总量为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4,061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万元。收支相抵，预算平衡</w:t>
      </w:r>
      <w:r>
        <w:rPr>
          <w:rFonts w:hint="eastAsia" w:ascii="仿宋_GB2312" w:hAnsi="仿宋_GB2312"/>
          <w:b/>
          <w:bCs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cs="楷体_GB2312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 w:eastAsiaTheme="minorEastAsia"/>
          <w:b/>
          <w:bCs/>
          <w:sz w:val="32"/>
          <w:szCs w:val="32"/>
        </w:rPr>
        <w:t>（二）政府性基金预算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1、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全市政府性基金预算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rPr>
          <w:rFonts w:ascii="仿宋_GB2312" w:hAnsi="楷体_GB2312" w:eastAsia="仿宋_GB2312" w:cs="楷体_GB2312"/>
          <w:b/>
          <w:bCs/>
          <w:sz w:val="32"/>
          <w:szCs w:val="32"/>
          <w:highlight w:val="none"/>
        </w:rPr>
      </w:pPr>
      <w:r>
        <w:rPr>
          <w:rFonts w:hint="eastAsia" w:ascii="仿宋_GB2312" w:hAnsi="楷体_GB2312" w:eastAsia="仿宋_GB2312" w:cs="楷体_GB2312"/>
          <w:b/>
          <w:bCs/>
          <w:sz w:val="32"/>
          <w:szCs w:val="32"/>
          <w:highlight w:val="none"/>
          <w:lang w:eastAsia="zh-CN"/>
        </w:rPr>
        <w:t>全市</w:t>
      </w:r>
      <w:r>
        <w:rPr>
          <w:rFonts w:hint="eastAsia" w:ascii="仿宋_GB2312" w:hAnsi="楷体_GB2312" w:eastAsia="仿宋_GB2312" w:cs="楷体_GB2312"/>
          <w:b/>
          <w:bCs/>
          <w:sz w:val="32"/>
          <w:szCs w:val="32"/>
          <w:highlight w:val="none"/>
        </w:rPr>
        <w:t>政府性基金预算</w:t>
      </w:r>
      <w:r>
        <w:rPr>
          <w:rFonts w:hint="eastAsia" w:ascii="仿宋_GB2312" w:hAnsi="楷体_GB2312" w:eastAsia="仿宋_GB2312" w:cs="楷体_GB2312"/>
          <w:b/>
          <w:bCs/>
          <w:sz w:val="30"/>
          <w:szCs w:val="30"/>
          <w:highlight w:val="none"/>
        </w:rPr>
        <w:t>（乡镇和街道无政府性基金预算）</w:t>
      </w:r>
      <w:r>
        <w:rPr>
          <w:rFonts w:hint="eastAsia" w:ascii="仿宋_GB2312" w:hAnsi="楷体_GB2312" w:eastAsia="仿宋_GB2312" w:cs="楷体_GB2312"/>
          <w:b/>
          <w:bCs/>
          <w:sz w:val="32"/>
          <w:szCs w:val="32"/>
          <w:highlight w:val="none"/>
        </w:rPr>
        <w:t>，收入</w:t>
      </w:r>
      <w:r>
        <w:rPr>
          <w:rFonts w:hint="eastAsia" w:ascii="仿宋_GB2312" w:hAnsi="楷体_GB2312" w:eastAsia="仿宋_GB2312" w:cs="楷体_GB2312"/>
          <w:b/>
          <w:bCs/>
          <w:sz w:val="32"/>
          <w:szCs w:val="32"/>
          <w:highlight w:val="none"/>
          <w:lang w:val="en-US" w:eastAsia="zh-CN"/>
        </w:rPr>
        <w:t>108,386</w:t>
      </w:r>
      <w:r>
        <w:rPr>
          <w:rFonts w:hint="eastAsia" w:ascii="仿宋_GB2312" w:hAnsi="楷体_GB2312" w:eastAsia="仿宋_GB2312" w:cs="楷体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楷体_GB2312" w:eastAsia="仿宋_GB2312" w:cs="楷体_GB2312"/>
          <w:b/>
          <w:bCs/>
          <w:sz w:val="32"/>
          <w:szCs w:val="32"/>
          <w:highlight w:val="none"/>
        </w:rPr>
        <w:t>元</w:t>
      </w:r>
      <w:r>
        <w:rPr>
          <w:rFonts w:hint="eastAsia" w:ascii="仿宋_GB2312" w:hAnsi="楷体_GB2312" w:eastAsia="仿宋_GB2312" w:cs="楷体_GB2312"/>
          <w:b/>
          <w:bCs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主要包括土地出让金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100,000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元、城市基础设施配套费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6,000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元、污水处理费收入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1,400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、专项债务对应项目专项收入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986万元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；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108,386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元，主要包括土地出让金支出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74,757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元、城市基础设施配套费支出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6,000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元、污水处理费支出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1,400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元、地方政府专项债券付息及发行费用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26,229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元。</w:t>
      </w:r>
      <w:r>
        <w:rPr>
          <w:rFonts w:hint="eastAsia" w:ascii="仿宋_GB2312" w:hAnsi="楷体_GB2312" w:eastAsia="仿宋_GB2312" w:cs="楷体_GB2312"/>
          <w:b/>
          <w:bCs/>
          <w:sz w:val="32"/>
          <w:szCs w:val="32"/>
          <w:highlight w:val="none"/>
        </w:rPr>
        <w:t>收支相抵，预算平衡。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rPr>
          <w:rFonts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市本级政府性基金预算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107,400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元，主要包括土地出让金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100,000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元、城市基础设施配套费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6,000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元、污水处理费收入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1,400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元；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107,400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元，主要包括土地出让金支出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74,757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元、城市基础设施配套费支出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6,000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元、污水处理费支出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1,400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元、地方政府专项债券付息及发行费用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25,243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元。</w:t>
      </w:r>
      <w:r>
        <w:rPr>
          <w:rFonts w:hint="eastAsia" w:ascii="仿宋_GB2312" w:hAnsi="楷体_GB2312" w:eastAsia="仿宋_GB2312" w:cs="楷体_GB2312"/>
          <w:b/>
          <w:bCs/>
          <w:sz w:val="32"/>
          <w:szCs w:val="32"/>
          <w:highlight w:val="none"/>
        </w:rPr>
        <w:t>收支相抵，预算平衡。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rPr>
          <w:rFonts w:hint="eastAsia"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北黄海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eastAsia="zh-CN"/>
        </w:rPr>
        <w:t>经开区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政府性基金预算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ascii="仿宋_GB2312" w:hAnsi="楷体_GB2312" w:eastAsia="仿宋_GB2312" w:cs="楷体_GB2312"/>
          <w:b/>
          <w:bCs/>
          <w:kern w:val="2"/>
          <w:sz w:val="32"/>
          <w:szCs w:val="32"/>
          <w:highlight w:val="none"/>
        </w:rPr>
      </w:pPr>
      <w:r>
        <w:rPr>
          <w:rFonts w:hint="eastAsia" w:ascii="仿宋_GB2312" w:hAnsi="黑体" w:eastAsia="仿宋_GB2312" w:cs="黑体"/>
          <w:b/>
          <w:bCs/>
          <w:kern w:val="2"/>
          <w:sz w:val="32"/>
          <w:szCs w:val="32"/>
          <w:highlight w:val="none"/>
        </w:rPr>
        <w:t>收入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  <w:lang w:val="en-US" w:eastAsia="zh-CN"/>
        </w:rPr>
        <w:t>986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</w:rPr>
        <w:t>元，包括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  <w:lang w:eastAsia="zh-CN"/>
        </w:rPr>
        <w:t>专项债务对应项目专项收入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  <w:lang w:val="en-US" w:eastAsia="zh-CN"/>
        </w:rPr>
        <w:t>986万元 ，来源于专项债券使用单位上缴的项目收益，专门用于偿还专项债券本息；</w:t>
      </w:r>
      <w:r>
        <w:rPr>
          <w:rFonts w:hint="eastAsia" w:ascii="仿宋_GB2312" w:hAnsi="黑体" w:eastAsia="仿宋_GB2312" w:cs="黑体"/>
          <w:b/>
          <w:bCs/>
          <w:kern w:val="2"/>
          <w:sz w:val="32"/>
          <w:szCs w:val="32"/>
          <w:highlight w:val="none"/>
        </w:rPr>
        <w:t>支出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  <w:lang w:val="en-US" w:eastAsia="zh-CN"/>
        </w:rPr>
        <w:t>986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</w:rPr>
        <w:t>元，主要包括地方政府专项债券付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  <w:lang w:eastAsia="zh-CN"/>
        </w:rPr>
        <w:t>息支出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  <w:lang w:val="en-US" w:eastAsia="zh-CN"/>
        </w:rPr>
        <w:t>986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 w:cs="Calibri"/>
          <w:b/>
          <w:bCs/>
          <w:kern w:val="2"/>
          <w:sz w:val="32"/>
          <w:szCs w:val="32"/>
          <w:highlight w:val="none"/>
        </w:rPr>
        <w:t>元。</w:t>
      </w:r>
      <w:r>
        <w:rPr>
          <w:rFonts w:hint="eastAsia" w:ascii="仿宋_GB2312" w:hAnsi="楷体_GB2312" w:eastAsia="仿宋_GB2312" w:cs="楷体_GB2312"/>
          <w:b/>
          <w:bCs/>
          <w:kern w:val="2"/>
          <w:sz w:val="32"/>
          <w:szCs w:val="32"/>
          <w:highlight w:val="none"/>
        </w:rPr>
        <w:t>收支相抵，预算平衡。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 w:eastAsiaTheme="minorEastAsia"/>
          <w:b/>
          <w:bCs/>
          <w:sz w:val="32"/>
          <w:szCs w:val="32"/>
        </w:rPr>
        <w:t>（三）国有资本经营预算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rPr>
          <w:rFonts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按照“以收定支，不列赤字”原则编制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  <w:t>（</w:t>
      </w:r>
      <w:r>
        <w:rPr>
          <w:rFonts w:hint="eastAsia" w:ascii="仿宋_GB2312" w:hAnsi="仿宋_GB2312" w:eastAsia="仿宋_GB2312"/>
          <w:b/>
          <w:bCs/>
          <w:sz w:val="30"/>
          <w:szCs w:val="30"/>
          <w:highlight w:val="none"/>
        </w:rPr>
        <w:t>均为市本级）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，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650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其中：林水集团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538万元、黄海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港务公司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101万元、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文旅集团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10万元、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企业信用融资担保公司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1万元，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不安排支出，全部调入一般公共预算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rPr>
          <w:rFonts w:cs="楷体_GB2312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 w:eastAsiaTheme="minorEastAsia"/>
          <w:b/>
          <w:bCs/>
          <w:sz w:val="32"/>
          <w:szCs w:val="32"/>
        </w:rPr>
        <w:t>（四）社会保险基金预算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按照我市统筹层次与保障要求编制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  <w:t>（均为市本级）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，我市负责统筹的是机关事业单位养老保险基金，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88,015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元，其中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养老保险缴费收入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27,000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元、财政补助收入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60,180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b/>
          <w:bCs/>
          <w:sz w:val="30"/>
          <w:szCs w:val="30"/>
          <w:highlight w:val="none"/>
        </w:rPr>
        <w:t>（即收支逆差）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、其他收入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835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元；</w:t>
      </w:r>
      <w:r>
        <w:rPr>
          <w:rFonts w:hint="eastAsia" w:ascii="仿宋_GB2312" w:hAnsi="黑体" w:eastAsia="仿宋_GB2312" w:cs="黑体"/>
          <w:b/>
          <w:bCs/>
          <w:sz w:val="32"/>
          <w:szCs w:val="32"/>
          <w:highlight w:val="none"/>
        </w:rPr>
        <w:t>支出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88,015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元。收支相抵，预算平衡。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23" w:firstLineChars="197"/>
        <w:textAlignment w:val="auto"/>
        <w:rPr>
          <w:rFonts w:hint="eastAsia" w:ascii="黑体" w:hAnsi="黑体" w:eastAsia="黑体" w:cs="黑体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四、2023年财政重点工作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2023年，全市各级各部门将严格执行预算法及其实施条例有关规定，认真落实本次会议关于预算的审查意见和决议决定，强化资源统筹，努力增收节支，确保完成全年预算任务。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cs="楷体_GB2312" w:asciiTheme="minorEastAsia" w:hAnsiTheme="minorEastAsia" w:eastAsiaTheme="minorEastAsia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cs="楷体_GB2312" w:asciiTheme="minorEastAsia" w:hAnsiTheme="minorEastAsia" w:eastAsiaTheme="minorEastAsia"/>
          <w:b/>
          <w:bCs/>
          <w:kern w:val="2"/>
          <w:sz w:val="32"/>
          <w:szCs w:val="32"/>
          <w:lang w:val="en-US" w:eastAsia="zh-CN"/>
        </w:rPr>
        <w:t>（一）坚持稳字当头，增强财政保障能力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/>
        </w:rPr>
        <w:t>一是依法依规组织财政收入，密切财税部门协作，做到信息互通、资源共享，加强税收征管与分析，积极涵养财源，深挖增收潜力，确保应收尽收；二是积极争取上级支持，密切跟踪国家政策调整动向，加强政策研究，做好项目储备，主动与上级部门对接，全力争取中央预算内投资、专项债等政策和资金支持；三是加大资产资源盘活力度，在国有资产清查核实基础上，全面摸清家底，建立资产台账，理清资产状况，分门别类制定盘活方案，充分利用产权转让、PPP、特许经营等市场化方式，有序组织盘活工作，切实减轻财政压力；四是坚持政府过“紧日子”，进一步压减一般性支出，优化支出结构，坚决兜牢“三保”底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cs="楷体_GB2312" w:asciiTheme="minorEastAsia" w:hAnsiTheme="minorEastAsia" w:eastAsiaTheme="minorEastAsia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cs="楷体_GB2312" w:asciiTheme="minorEastAsia" w:hAnsiTheme="minorEastAsia" w:eastAsiaTheme="minorEastAsia"/>
          <w:b/>
          <w:bCs/>
          <w:kern w:val="2"/>
          <w:sz w:val="32"/>
          <w:szCs w:val="32"/>
          <w:lang w:val="en-US" w:eastAsia="zh-CN"/>
        </w:rPr>
        <w:t>（二）坚持改字发力，构建现代财政体系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/>
        </w:rPr>
        <w:t>一是全面实施预算一体化建设，整合预算编制、预算执行、绩效管理、政府采购、资产管理等预算管理全流程，以信息化手段支撑预算管理现代化；二是深入推进国企改革，整合优化资本配置，利用政府资源为国企赋能，将经营性资产注入到国企，做大资产规模，提升管理水平，推动国企做强做优做大；三是</w:t>
      </w:r>
      <w:r>
        <w:rPr>
          <w:rFonts w:hint="eastAsia" w:ascii="仿宋_GB2312" w:hAnsi="仿宋_GB2312" w:cs="仿宋_GB2312"/>
          <w:b/>
          <w:bCs/>
          <w:kern w:val="2"/>
          <w:sz w:val="32"/>
          <w:szCs w:val="32"/>
          <w:highlight w:val="none"/>
          <w:lang w:val="en-US" w:eastAsia="zh-CN"/>
        </w:rPr>
        <w:t>加强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/>
        </w:rPr>
        <w:t>财政内控建设，通过完善一体化流程，形成预算编制、执行和监督相互制约的体制机制；四是加大财会监督和预决算公开力度，抓好巡视、巡察、审计等发现问题的整改工作，进一步落实责任，促进管理、提高效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cs="楷体_GB2312" w:asciiTheme="minorEastAsia" w:hAnsiTheme="minorEastAsia" w:eastAsiaTheme="minorEastAsia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cs="楷体_GB2312" w:asciiTheme="minorEastAsia" w:hAnsiTheme="minorEastAsia" w:eastAsiaTheme="minorEastAsia"/>
          <w:b/>
          <w:bCs/>
          <w:kern w:val="2"/>
          <w:sz w:val="32"/>
          <w:szCs w:val="32"/>
          <w:lang w:val="en-US" w:eastAsia="zh-CN"/>
        </w:rPr>
        <w:t>（三）坚持效字为重，全面抓实绩效管理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/>
        </w:rPr>
        <w:t>一是认真落实绩效管理主体责任，深化预算绩效管理改革，将绩效管理实质性嵌入预算管理流程，推动预算和绩效管理一体化；二是严格绩效目标管理，提升绩效目标、绩效指标的科学性、规范性、客观性；三是加强绩效自评和部门评价，如实反映绩效目标实现结果，不断提高评价质量；四是加强绩效结果应用，将绩效结果与完善政策、调整预算有机衔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cs="楷体_GB2312" w:asciiTheme="minorEastAsia" w:hAnsiTheme="minorEastAsia" w:eastAsiaTheme="minorEastAsia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cs="楷体_GB2312" w:asciiTheme="minorEastAsia" w:hAnsiTheme="minorEastAsia" w:eastAsiaTheme="minorEastAsia"/>
          <w:b/>
          <w:bCs/>
          <w:kern w:val="2"/>
          <w:sz w:val="32"/>
          <w:szCs w:val="32"/>
          <w:lang w:val="en-US" w:eastAsia="zh-CN"/>
        </w:rPr>
        <w:t>（四）坚持防字当前，强化债务风险管控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/>
        </w:rPr>
        <w:t>一是完善债务监测机制，按照“谁举债、谁负责”的原则实施穿透监管，加强部门信息共享和协同监管，实行联防联控，形成监管合力；二是严格债务限额管理，新增政府债务严格控制在限额之内，坚决遏制隐性债务增量；三是紧盯政策走向，积极争取全域无隐性债务试点；四是切实化解存量债务，实时掌握偿债需求，将到期政府债券本息列入预算管理，落实偿债资金来源，确保按期完成化债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32" w:firstLineChars="200"/>
        <w:jc w:val="both"/>
        <w:textAlignment w:val="auto"/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各位代表！2023年是深入实施“十四五”规划的关键之年，做好2023年的财政工作，任务艰巨，责任重大。我们将在市委、市政府的正确领导下，在市人大、市政协的监督支持下，秉持初心，直面困难，真抓实干，勇毅前行，为高标准打造区域引领性的绿色经济发展示范区、高质量建成北黄海生态型现代化海滨城市贡献力量！</w:t>
      </w:r>
    </w:p>
    <w:p>
      <w:pPr>
        <w:spacing w:line="620" w:lineRule="exact"/>
        <w:ind w:firstLine="632" w:firstLineChars="200"/>
        <w:rPr>
          <w:rFonts w:ascii="仿宋_GB2312"/>
          <w:b/>
          <w:bCs/>
          <w:color w:val="000000" w:themeColor="text1"/>
          <w:highlight w:val="yellow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1361" w:gutter="0"/>
      <w:cols w:space="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963720"/>
    <w:multiLevelType w:val="singleLevel"/>
    <w:tmpl w:val="E8963720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embedSystemFonts/>
  <w:bordersDoNotSurroundHeader w:val="0"/>
  <w:bordersDoNotSurroundFooter w:val="0"/>
  <w:documentProtection w:enforcement="0"/>
  <w:defaultTabStop w:val="420"/>
  <w:doNotHyphenateCaps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287"/>
    <w:rsid w:val="000016FB"/>
    <w:rsid w:val="00001754"/>
    <w:rsid w:val="00003D90"/>
    <w:rsid w:val="00004CC2"/>
    <w:rsid w:val="000051FB"/>
    <w:rsid w:val="00005637"/>
    <w:rsid w:val="00005A66"/>
    <w:rsid w:val="0000784B"/>
    <w:rsid w:val="00012428"/>
    <w:rsid w:val="00013D14"/>
    <w:rsid w:val="000172F3"/>
    <w:rsid w:val="000236F4"/>
    <w:rsid w:val="00031268"/>
    <w:rsid w:val="00034A95"/>
    <w:rsid w:val="000405F3"/>
    <w:rsid w:val="00040E6D"/>
    <w:rsid w:val="000430D9"/>
    <w:rsid w:val="00045C19"/>
    <w:rsid w:val="000462E7"/>
    <w:rsid w:val="000465F0"/>
    <w:rsid w:val="00055A43"/>
    <w:rsid w:val="00063FD9"/>
    <w:rsid w:val="00067656"/>
    <w:rsid w:val="0007082E"/>
    <w:rsid w:val="00073D6A"/>
    <w:rsid w:val="000762B3"/>
    <w:rsid w:val="00080A5F"/>
    <w:rsid w:val="000819FE"/>
    <w:rsid w:val="00084CF6"/>
    <w:rsid w:val="000878D7"/>
    <w:rsid w:val="000926CD"/>
    <w:rsid w:val="00093B76"/>
    <w:rsid w:val="000946FD"/>
    <w:rsid w:val="00095A7D"/>
    <w:rsid w:val="000A1287"/>
    <w:rsid w:val="000A1A3D"/>
    <w:rsid w:val="000A4373"/>
    <w:rsid w:val="000A4F70"/>
    <w:rsid w:val="000A5665"/>
    <w:rsid w:val="000A66D5"/>
    <w:rsid w:val="000B574C"/>
    <w:rsid w:val="000B5C92"/>
    <w:rsid w:val="000C0F03"/>
    <w:rsid w:val="000C3006"/>
    <w:rsid w:val="000C77AC"/>
    <w:rsid w:val="000D0A50"/>
    <w:rsid w:val="000D7EA1"/>
    <w:rsid w:val="000E20AD"/>
    <w:rsid w:val="000E43BC"/>
    <w:rsid w:val="000E6B66"/>
    <w:rsid w:val="000F0146"/>
    <w:rsid w:val="000F146C"/>
    <w:rsid w:val="000F176C"/>
    <w:rsid w:val="000F35EF"/>
    <w:rsid w:val="000F58F6"/>
    <w:rsid w:val="00100857"/>
    <w:rsid w:val="00100FDC"/>
    <w:rsid w:val="00101C26"/>
    <w:rsid w:val="00105715"/>
    <w:rsid w:val="001112AA"/>
    <w:rsid w:val="00111598"/>
    <w:rsid w:val="00120124"/>
    <w:rsid w:val="00120BB8"/>
    <w:rsid w:val="00124B7C"/>
    <w:rsid w:val="00125A48"/>
    <w:rsid w:val="00130F22"/>
    <w:rsid w:val="001320D8"/>
    <w:rsid w:val="0013283E"/>
    <w:rsid w:val="00137DA9"/>
    <w:rsid w:val="00142422"/>
    <w:rsid w:val="001527DA"/>
    <w:rsid w:val="00155B1A"/>
    <w:rsid w:val="00155B3D"/>
    <w:rsid w:val="00157792"/>
    <w:rsid w:val="0016363E"/>
    <w:rsid w:val="00164E98"/>
    <w:rsid w:val="00166BC6"/>
    <w:rsid w:val="0017163C"/>
    <w:rsid w:val="0017248A"/>
    <w:rsid w:val="00186351"/>
    <w:rsid w:val="00187F40"/>
    <w:rsid w:val="00190E51"/>
    <w:rsid w:val="00192C88"/>
    <w:rsid w:val="00193144"/>
    <w:rsid w:val="001974C0"/>
    <w:rsid w:val="001A2ED5"/>
    <w:rsid w:val="001A4EA6"/>
    <w:rsid w:val="001B1297"/>
    <w:rsid w:val="001B394F"/>
    <w:rsid w:val="001C1E63"/>
    <w:rsid w:val="001C2561"/>
    <w:rsid w:val="001C3989"/>
    <w:rsid w:val="001C64B2"/>
    <w:rsid w:val="001C67D2"/>
    <w:rsid w:val="001C702B"/>
    <w:rsid w:val="001D0DD5"/>
    <w:rsid w:val="001D2270"/>
    <w:rsid w:val="001D2EEB"/>
    <w:rsid w:val="001E066A"/>
    <w:rsid w:val="001E57AE"/>
    <w:rsid w:val="001E7F06"/>
    <w:rsid w:val="001F440C"/>
    <w:rsid w:val="00204332"/>
    <w:rsid w:val="00206B43"/>
    <w:rsid w:val="00210054"/>
    <w:rsid w:val="00211F86"/>
    <w:rsid w:val="00213542"/>
    <w:rsid w:val="0021669E"/>
    <w:rsid w:val="002174F9"/>
    <w:rsid w:val="00234F5D"/>
    <w:rsid w:val="00234FFE"/>
    <w:rsid w:val="0023726B"/>
    <w:rsid w:val="00241EF6"/>
    <w:rsid w:val="00242712"/>
    <w:rsid w:val="0025062D"/>
    <w:rsid w:val="00250FD8"/>
    <w:rsid w:val="0025120E"/>
    <w:rsid w:val="00254829"/>
    <w:rsid w:val="0025560D"/>
    <w:rsid w:val="00256618"/>
    <w:rsid w:val="00257ABC"/>
    <w:rsid w:val="00261933"/>
    <w:rsid w:val="00262D55"/>
    <w:rsid w:val="00270815"/>
    <w:rsid w:val="00277CBE"/>
    <w:rsid w:val="00277ED1"/>
    <w:rsid w:val="00283656"/>
    <w:rsid w:val="00290789"/>
    <w:rsid w:val="002918CF"/>
    <w:rsid w:val="002932DE"/>
    <w:rsid w:val="002942AC"/>
    <w:rsid w:val="00294458"/>
    <w:rsid w:val="00294B57"/>
    <w:rsid w:val="0029713C"/>
    <w:rsid w:val="002A0F11"/>
    <w:rsid w:val="002A0FDA"/>
    <w:rsid w:val="002A2BD0"/>
    <w:rsid w:val="002A2EF9"/>
    <w:rsid w:val="002A3DCC"/>
    <w:rsid w:val="002A5295"/>
    <w:rsid w:val="002A5BBF"/>
    <w:rsid w:val="002A6F97"/>
    <w:rsid w:val="002B06CF"/>
    <w:rsid w:val="002B64C6"/>
    <w:rsid w:val="002C01E9"/>
    <w:rsid w:val="002D1FF8"/>
    <w:rsid w:val="002D22F6"/>
    <w:rsid w:val="002D40B0"/>
    <w:rsid w:val="002D5319"/>
    <w:rsid w:val="002E5750"/>
    <w:rsid w:val="002E59E1"/>
    <w:rsid w:val="002F12BE"/>
    <w:rsid w:val="002F2A6D"/>
    <w:rsid w:val="00300436"/>
    <w:rsid w:val="0030109D"/>
    <w:rsid w:val="003069FF"/>
    <w:rsid w:val="00307094"/>
    <w:rsid w:val="00307539"/>
    <w:rsid w:val="0031052C"/>
    <w:rsid w:val="00314651"/>
    <w:rsid w:val="0031510B"/>
    <w:rsid w:val="00321286"/>
    <w:rsid w:val="00321E29"/>
    <w:rsid w:val="003220A4"/>
    <w:rsid w:val="00322360"/>
    <w:rsid w:val="00326A40"/>
    <w:rsid w:val="00327367"/>
    <w:rsid w:val="0033118E"/>
    <w:rsid w:val="00332B9E"/>
    <w:rsid w:val="00335574"/>
    <w:rsid w:val="00352883"/>
    <w:rsid w:val="00353F67"/>
    <w:rsid w:val="00362503"/>
    <w:rsid w:val="003663CC"/>
    <w:rsid w:val="003664B7"/>
    <w:rsid w:val="003706AC"/>
    <w:rsid w:val="00370B5A"/>
    <w:rsid w:val="003712B5"/>
    <w:rsid w:val="003723A3"/>
    <w:rsid w:val="003734BB"/>
    <w:rsid w:val="00373992"/>
    <w:rsid w:val="0038616E"/>
    <w:rsid w:val="003876FC"/>
    <w:rsid w:val="003879F2"/>
    <w:rsid w:val="0039184D"/>
    <w:rsid w:val="003933DA"/>
    <w:rsid w:val="00396449"/>
    <w:rsid w:val="00396EE4"/>
    <w:rsid w:val="003A1566"/>
    <w:rsid w:val="003A71DA"/>
    <w:rsid w:val="003B1B7C"/>
    <w:rsid w:val="003B2CF4"/>
    <w:rsid w:val="003C04B2"/>
    <w:rsid w:val="003C096A"/>
    <w:rsid w:val="003D15A2"/>
    <w:rsid w:val="003D35D8"/>
    <w:rsid w:val="003D434C"/>
    <w:rsid w:val="003D58D7"/>
    <w:rsid w:val="003E3ADD"/>
    <w:rsid w:val="003E4E2C"/>
    <w:rsid w:val="003F07CE"/>
    <w:rsid w:val="003F5CA4"/>
    <w:rsid w:val="00400E7E"/>
    <w:rsid w:val="00401516"/>
    <w:rsid w:val="0040183B"/>
    <w:rsid w:val="0040335B"/>
    <w:rsid w:val="00403760"/>
    <w:rsid w:val="0040577D"/>
    <w:rsid w:val="00407533"/>
    <w:rsid w:val="00407C82"/>
    <w:rsid w:val="0041075E"/>
    <w:rsid w:val="004136B6"/>
    <w:rsid w:val="00414D2C"/>
    <w:rsid w:val="00415721"/>
    <w:rsid w:val="004206A1"/>
    <w:rsid w:val="004257B1"/>
    <w:rsid w:val="004263C3"/>
    <w:rsid w:val="004318CB"/>
    <w:rsid w:val="00436918"/>
    <w:rsid w:val="0044105C"/>
    <w:rsid w:val="004419F4"/>
    <w:rsid w:val="0044415E"/>
    <w:rsid w:val="004547B8"/>
    <w:rsid w:val="00457AF1"/>
    <w:rsid w:val="00460C5F"/>
    <w:rsid w:val="00460D3C"/>
    <w:rsid w:val="004627C3"/>
    <w:rsid w:val="00466DB2"/>
    <w:rsid w:val="00467DAA"/>
    <w:rsid w:val="00467F94"/>
    <w:rsid w:val="00470DEF"/>
    <w:rsid w:val="00472BBF"/>
    <w:rsid w:val="00477914"/>
    <w:rsid w:val="00481629"/>
    <w:rsid w:val="00491AFB"/>
    <w:rsid w:val="00491F22"/>
    <w:rsid w:val="004933FA"/>
    <w:rsid w:val="00495582"/>
    <w:rsid w:val="004A091F"/>
    <w:rsid w:val="004A3E87"/>
    <w:rsid w:val="004A6C1F"/>
    <w:rsid w:val="004B17E2"/>
    <w:rsid w:val="004B559A"/>
    <w:rsid w:val="004B5F06"/>
    <w:rsid w:val="004B6D7B"/>
    <w:rsid w:val="004C0279"/>
    <w:rsid w:val="004C05D2"/>
    <w:rsid w:val="004C40AC"/>
    <w:rsid w:val="004D4792"/>
    <w:rsid w:val="004D565E"/>
    <w:rsid w:val="004E30E0"/>
    <w:rsid w:val="004E386C"/>
    <w:rsid w:val="004E77A8"/>
    <w:rsid w:val="004F0F39"/>
    <w:rsid w:val="004F480A"/>
    <w:rsid w:val="004F49AC"/>
    <w:rsid w:val="004F72F7"/>
    <w:rsid w:val="005071A1"/>
    <w:rsid w:val="00510757"/>
    <w:rsid w:val="00511F65"/>
    <w:rsid w:val="00513941"/>
    <w:rsid w:val="00513E7B"/>
    <w:rsid w:val="00514EF2"/>
    <w:rsid w:val="005250ED"/>
    <w:rsid w:val="005260BA"/>
    <w:rsid w:val="005265C1"/>
    <w:rsid w:val="00532718"/>
    <w:rsid w:val="00532989"/>
    <w:rsid w:val="00533F33"/>
    <w:rsid w:val="00535998"/>
    <w:rsid w:val="005364E6"/>
    <w:rsid w:val="00541780"/>
    <w:rsid w:val="00542D23"/>
    <w:rsid w:val="00547CE8"/>
    <w:rsid w:val="00550478"/>
    <w:rsid w:val="00550827"/>
    <w:rsid w:val="0055191A"/>
    <w:rsid w:val="00551CC7"/>
    <w:rsid w:val="00552A63"/>
    <w:rsid w:val="00553BFD"/>
    <w:rsid w:val="005568C1"/>
    <w:rsid w:val="005571E5"/>
    <w:rsid w:val="0056020B"/>
    <w:rsid w:val="00564B9A"/>
    <w:rsid w:val="00565D8D"/>
    <w:rsid w:val="00565EC3"/>
    <w:rsid w:val="0056606F"/>
    <w:rsid w:val="005660FB"/>
    <w:rsid w:val="00570D57"/>
    <w:rsid w:val="00572874"/>
    <w:rsid w:val="005744E0"/>
    <w:rsid w:val="00582A70"/>
    <w:rsid w:val="00586465"/>
    <w:rsid w:val="00591C37"/>
    <w:rsid w:val="005949F9"/>
    <w:rsid w:val="00594B54"/>
    <w:rsid w:val="00596022"/>
    <w:rsid w:val="005963AD"/>
    <w:rsid w:val="005A0277"/>
    <w:rsid w:val="005A0BAD"/>
    <w:rsid w:val="005A604E"/>
    <w:rsid w:val="005A6BE9"/>
    <w:rsid w:val="005B00CA"/>
    <w:rsid w:val="005B14F6"/>
    <w:rsid w:val="005B4C73"/>
    <w:rsid w:val="005B6925"/>
    <w:rsid w:val="005C425D"/>
    <w:rsid w:val="005D357B"/>
    <w:rsid w:val="005E0126"/>
    <w:rsid w:val="005E2BB6"/>
    <w:rsid w:val="005E3C3E"/>
    <w:rsid w:val="005E3E1A"/>
    <w:rsid w:val="005E6858"/>
    <w:rsid w:val="005E7029"/>
    <w:rsid w:val="005E73A3"/>
    <w:rsid w:val="005F1247"/>
    <w:rsid w:val="005F3069"/>
    <w:rsid w:val="005F70C0"/>
    <w:rsid w:val="006021F5"/>
    <w:rsid w:val="00607506"/>
    <w:rsid w:val="0060754B"/>
    <w:rsid w:val="00610F67"/>
    <w:rsid w:val="00611742"/>
    <w:rsid w:val="0061487B"/>
    <w:rsid w:val="00620E6E"/>
    <w:rsid w:val="00623198"/>
    <w:rsid w:val="00623D62"/>
    <w:rsid w:val="00624F95"/>
    <w:rsid w:val="006258A7"/>
    <w:rsid w:val="00626CB8"/>
    <w:rsid w:val="00632F02"/>
    <w:rsid w:val="00633F85"/>
    <w:rsid w:val="006347A6"/>
    <w:rsid w:val="00636BD4"/>
    <w:rsid w:val="00636E5C"/>
    <w:rsid w:val="00637594"/>
    <w:rsid w:val="0064305D"/>
    <w:rsid w:val="00644CF1"/>
    <w:rsid w:val="00647420"/>
    <w:rsid w:val="0065162D"/>
    <w:rsid w:val="00656067"/>
    <w:rsid w:val="006566FD"/>
    <w:rsid w:val="00661D3B"/>
    <w:rsid w:val="00663E35"/>
    <w:rsid w:val="006642A5"/>
    <w:rsid w:val="00665AA1"/>
    <w:rsid w:val="00673382"/>
    <w:rsid w:val="0067393C"/>
    <w:rsid w:val="0068240E"/>
    <w:rsid w:val="006828A3"/>
    <w:rsid w:val="006904BA"/>
    <w:rsid w:val="00691CDE"/>
    <w:rsid w:val="00693304"/>
    <w:rsid w:val="0069564B"/>
    <w:rsid w:val="00695943"/>
    <w:rsid w:val="00697541"/>
    <w:rsid w:val="006A442A"/>
    <w:rsid w:val="006C0966"/>
    <w:rsid w:val="006D3B17"/>
    <w:rsid w:val="006D3C53"/>
    <w:rsid w:val="006D4368"/>
    <w:rsid w:val="006D4D6F"/>
    <w:rsid w:val="006E1573"/>
    <w:rsid w:val="006E5000"/>
    <w:rsid w:val="006F72EF"/>
    <w:rsid w:val="007061D2"/>
    <w:rsid w:val="007111AC"/>
    <w:rsid w:val="00721F32"/>
    <w:rsid w:val="007229A2"/>
    <w:rsid w:val="0073088C"/>
    <w:rsid w:val="00731BBF"/>
    <w:rsid w:val="007321F9"/>
    <w:rsid w:val="00733455"/>
    <w:rsid w:val="00736C89"/>
    <w:rsid w:val="00737056"/>
    <w:rsid w:val="0073791D"/>
    <w:rsid w:val="00740963"/>
    <w:rsid w:val="00740D22"/>
    <w:rsid w:val="0074339F"/>
    <w:rsid w:val="00745B0C"/>
    <w:rsid w:val="007475EC"/>
    <w:rsid w:val="00751509"/>
    <w:rsid w:val="00752875"/>
    <w:rsid w:val="007558B2"/>
    <w:rsid w:val="00760AC4"/>
    <w:rsid w:val="00760CAD"/>
    <w:rsid w:val="007626C1"/>
    <w:rsid w:val="0076746A"/>
    <w:rsid w:val="00767906"/>
    <w:rsid w:val="00771257"/>
    <w:rsid w:val="0077280D"/>
    <w:rsid w:val="00773EBD"/>
    <w:rsid w:val="00775357"/>
    <w:rsid w:val="00775375"/>
    <w:rsid w:val="0077784E"/>
    <w:rsid w:val="00781454"/>
    <w:rsid w:val="007844CD"/>
    <w:rsid w:val="007855AC"/>
    <w:rsid w:val="00786AAE"/>
    <w:rsid w:val="00791D1C"/>
    <w:rsid w:val="00794A18"/>
    <w:rsid w:val="00794DB0"/>
    <w:rsid w:val="007960EA"/>
    <w:rsid w:val="00796C88"/>
    <w:rsid w:val="00796EB7"/>
    <w:rsid w:val="007975F5"/>
    <w:rsid w:val="007A3DA6"/>
    <w:rsid w:val="007A44C8"/>
    <w:rsid w:val="007B0B4A"/>
    <w:rsid w:val="007B2338"/>
    <w:rsid w:val="007C0AC8"/>
    <w:rsid w:val="007C1775"/>
    <w:rsid w:val="007C1783"/>
    <w:rsid w:val="007C42CC"/>
    <w:rsid w:val="007C5D7A"/>
    <w:rsid w:val="007C602D"/>
    <w:rsid w:val="007D03D3"/>
    <w:rsid w:val="007D1904"/>
    <w:rsid w:val="007D248D"/>
    <w:rsid w:val="007D26CC"/>
    <w:rsid w:val="007D32CB"/>
    <w:rsid w:val="007E06A1"/>
    <w:rsid w:val="007E1658"/>
    <w:rsid w:val="007E18BF"/>
    <w:rsid w:val="007E507B"/>
    <w:rsid w:val="007F130D"/>
    <w:rsid w:val="007F649B"/>
    <w:rsid w:val="007F753E"/>
    <w:rsid w:val="007F7CC0"/>
    <w:rsid w:val="008021C2"/>
    <w:rsid w:val="008039E0"/>
    <w:rsid w:val="00805C41"/>
    <w:rsid w:val="0080706C"/>
    <w:rsid w:val="0080728C"/>
    <w:rsid w:val="008113C2"/>
    <w:rsid w:val="00816E66"/>
    <w:rsid w:val="008222DA"/>
    <w:rsid w:val="00822D66"/>
    <w:rsid w:val="008237DC"/>
    <w:rsid w:val="00823B3C"/>
    <w:rsid w:val="00834384"/>
    <w:rsid w:val="008351ED"/>
    <w:rsid w:val="0083521D"/>
    <w:rsid w:val="00835A90"/>
    <w:rsid w:val="00836859"/>
    <w:rsid w:val="008417B7"/>
    <w:rsid w:val="0084206D"/>
    <w:rsid w:val="008433FC"/>
    <w:rsid w:val="00845192"/>
    <w:rsid w:val="00847833"/>
    <w:rsid w:val="00850A0C"/>
    <w:rsid w:val="00852486"/>
    <w:rsid w:val="00855896"/>
    <w:rsid w:val="0085669B"/>
    <w:rsid w:val="00856865"/>
    <w:rsid w:val="00862D07"/>
    <w:rsid w:val="00864CBC"/>
    <w:rsid w:val="0087531D"/>
    <w:rsid w:val="00877AE3"/>
    <w:rsid w:val="00882E88"/>
    <w:rsid w:val="00886CA5"/>
    <w:rsid w:val="00891048"/>
    <w:rsid w:val="00893342"/>
    <w:rsid w:val="00893ACA"/>
    <w:rsid w:val="008A0150"/>
    <w:rsid w:val="008A52A9"/>
    <w:rsid w:val="008A682C"/>
    <w:rsid w:val="008B1896"/>
    <w:rsid w:val="008B2865"/>
    <w:rsid w:val="008C035C"/>
    <w:rsid w:val="008C177B"/>
    <w:rsid w:val="008C30F7"/>
    <w:rsid w:val="008C3D50"/>
    <w:rsid w:val="008C4413"/>
    <w:rsid w:val="008D0729"/>
    <w:rsid w:val="008D346B"/>
    <w:rsid w:val="008D3780"/>
    <w:rsid w:val="008D4EA8"/>
    <w:rsid w:val="008E2B44"/>
    <w:rsid w:val="008E4BEE"/>
    <w:rsid w:val="008E5C9C"/>
    <w:rsid w:val="008F126F"/>
    <w:rsid w:val="008F5625"/>
    <w:rsid w:val="009059BC"/>
    <w:rsid w:val="00915D6B"/>
    <w:rsid w:val="009214E1"/>
    <w:rsid w:val="00925327"/>
    <w:rsid w:val="009258C8"/>
    <w:rsid w:val="0093007A"/>
    <w:rsid w:val="00935666"/>
    <w:rsid w:val="00944156"/>
    <w:rsid w:val="00945D2E"/>
    <w:rsid w:val="00945DA2"/>
    <w:rsid w:val="00946643"/>
    <w:rsid w:val="00952E51"/>
    <w:rsid w:val="0095597C"/>
    <w:rsid w:val="00956435"/>
    <w:rsid w:val="00956AE1"/>
    <w:rsid w:val="0096015F"/>
    <w:rsid w:val="009677A4"/>
    <w:rsid w:val="00970CE4"/>
    <w:rsid w:val="00970E87"/>
    <w:rsid w:val="00976647"/>
    <w:rsid w:val="009845EB"/>
    <w:rsid w:val="009846DF"/>
    <w:rsid w:val="0098517E"/>
    <w:rsid w:val="00986411"/>
    <w:rsid w:val="00986E95"/>
    <w:rsid w:val="00990B42"/>
    <w:rsid w:val="00992CCF"/>
    <w:rsid w:val="009949A4"/>
    <w:rsid w:val="00997520"/>
    <w:rsid w:val="009A1C4B"/>
    <w:rsid w:val="009A2333"/>
    <w:rsid w:val="009A3725"/>
    <w:rsid w:val="009A3BB6"/>
    <w:rsid w:val="009A4690"/>
    <w:rsid w:val="009A5E42"/>
    <w:rsid w:val="009A600D"/>
    <w:rsid w:val="009B4970"/>
    <w:rsid w:val="009B49C3"/>
    <w:rsid w:val="009B5A8E"/>
    <w:rsid w:val="009B66C8"/>
    <w:rsid w:val="009B75E6"/>
    <w:rsid w:val="009B7B42"/>
    <w:rsid w:val="009C15AB"/>
    <w:rsid w:val="009C160A"/>
    <w:rsid w:val="009C376D"/>
    <w:rsid w:val="009C4D6F"/>
    <w:rsid w:val="009C5326"/>
    <w:rsid w:val="009C536F"/>
    <w:rsid w:val="009C5943"/>
    <w:rsid w:val="009C69CC"/>
    <w:rsid w:val="009C6F50"/>
    <w:rsid w:val="009D21BE"/>
    <w:rsid w:val="009D3CE8"/>
    <w:rsid w:val="009D7F5D"/>
    <w:rsid w:val="009E06FC"/>
    <w:rsid w:val="009E2620"/>
    <w:rsid w:val="009E47A4"/>
    <w:rsid w:val="009E6A83"/>
    <w:rsid w:val="009E78C0"/>
    <w:rsid w:val="009F132F"/>
    <w:rsid w:val="009F260E"/>
    <w:rsid w:val="009F406E"/>
    <w:rsid w:val="009F416F"/>
    <w:rsid w:val="009F4EA7"/>
    <w:rsid w:val="00A00791"/>
    <w:rsid w:val="00A02BD4"/>
    <w:rsid w:val="00A03403"/>
    <w:rsid w:val="00A10EC5"/>
    <w:rsid w:val="00A132B2"/>
    <w:rsid w:val="00A14237"/>
    <w:rsid w:val="00A15653"/>
    <w:rsid w:val="00A15C56"/>
    <w:rsid w:val="00A21514"/>
    <w:rsid w:val="00A310FE"/>
    <w:rsid w:val="00A3205B"/>
    <w:rsid w:val="00A33A50"/>
    <w:rsid w:val="00A35E4B"/>
    <w:rsid w:val="00A378FC"/>
    <w:rsid w:val="00A41CC5"/>
    <w:rsid w:val="00A44676"/>
    <w:rsid w:val="00A44BE7"/>
    <w:rsid w:val="00A44D3C"/>
    <w:rsid w:val="00A47036"/>
    <w:rsid w:val="00A4754B"/>
    <w:rsid w:val="00A50076"/>
    <w:rsid w:val="00A513CD"/>
    <w:rsid w:val="00A557EA"/>
    <w:rsid w:val="00A55974"/>
    <w:rsid w:val="00A576D9"/>
    <w:rsid w:val="00A60ED7"/>
    <w:rsid w:val="00A62205"/>
    <w:rsid w:val="00A65991"/>
    <w:rsid w:val="00A71144"/>
    <w:rsid w:val="00A7119B"/>
    <w:rsid w:val="00A73368"/>
    <w:rsid w:val="00A75C13"/>
    <w:rsid w:val="00A80B49"/>
    <w:rsid w:val="00A84D37"/>
    <w:rsid w:val="00A8533C"/>
    <w:rsid w:val="00A876A5"/>
    <w:rsid w:val="00A901FA"/>
    <w:rsid w:val="00A930D6"/>
    <w:rsid w:val="00A95716"/>
    <w:rsid w:val="00A96052"/>
    <w:rsid w:val="00A96719"/>
    <w:rsid w:val="00AA4956"/>
    <w:rsid w:val="00AA67F5"/>
    <w:rsid w:val="00AA6AA5"/>
    <w:rsid w:val="00AB021D"/>
    <w:rsid w:val="00AB1504"/>
    <w:rsid w:val="00AB34A0"/>
    <w:rsid w:val="00AB4C4A"/>
    <w:rsid w:val="00AB5CBF"/>
    <w:rsid w:val="00AC1070"/>
    <w:rsid w:val="00AC77B8"/>
    <w:rsid w:val="00AD0573"/>
    <w:rsid w:val="00AD2D08"/>
    <w:rsid w:val="00AD3903"/>
    <w:rsid w:val="00AD60A8"/>
    <w:rsid w:val="00AE2CD0"/>
    <w:rsid w:val="00AE4537"/>
    <w:rsid w:val="00AF1577"/>
    <w:rsid w:val="00AF3462"/>
    <w:rsid w:val="00B003C1"/>
    <w:rsid w:val="00B00A7F"/>
    <w:rsid w:val="00B060F3"/>
    <w:rsid w:val="00B0760D"/>
    <w:rsid w:val="00B07C45"/>
    <w:rsid w:val="00B110A6"/>
    <w:rsid w:val="00B113EC"/>
    <w:rsid w:val="00B119A5"/>
    <w:rsid w:val="00B11D89"/>
    <w:rsid w:val="00B140C6"/>
    <w:rsid w:val="00B1745B"/>
    <w:rsid w:val="00B179B1"/>
    <w:rsid w:val="00B2143F"/>
    <w:rsid w:val="00B22709"/>
    <w:rsid w:val="00B22719"/>
    <w:rsid w:val="00B22DF9"/>
    <w:rsid w:val="00B24C6A"/>
    <w:rsid w:val="00B3183A"/>
    <w:rsid w:val="00B3282E"/>
    <w:rsid w:val="00B3422E"/>
    <w:rsid w:val="00B350A2"/>
    <w:rsid w:val="00B35A5E"/>
    <w:rsid w:val="00B366E7"/>
    <w:rsid w:val="00B3727E"/>
    <w:rsid w:val="00B4164E"/>
    <w:rsid w:val="00B43493"/>
    <w:rsid w:val="00B451B4"/>
    <w:rsid w:val="00B4521D"/>
    <w:rsid w:val="00B45528"/>
    <w:rsid w:val="00B50656"/>
    <w:rsid w:val="00B50802"/>
    <w:rsid w:val="00B52207"/>
    <w:rsid w:val="00B5566E"/>
    <w:rsid w:val="00B55AFA"/>
    <w:rsid w:val="00B56B0C"/>
    <w:rsid w:val="00B63204"/>
    <w:rsid w:val="00B65E7A"/>
    <w:rsid w:val="00B66F4B"/>
    <w:rsid w:val="00B70F09"/>
    <w:rsid w:val="00B75724"/>
    <w:rsid w:val="00B75E1E"/>
    <w:rsid w:val="00B76095"/>
    <w:rsid w:val="00B77113"/>
    <w:rsid w:val="00B806D4"/>
    <w:rsid w:val="00B84E60"/>
    <w:rsid w:val="00B851A5"/>
    <w:rsid w:val="00B907A2"/>
    <w:rsid w:val="00B91E8B"/>
    <w:rsid w:val="00B94D06"/>
    <w:rsid w:val="00B9725A"/>
    <w:rsid w:val="00B97AA0"/>
    <w:rsid w:val="00BA10DE"/>
    <w:rsid w:val="00BA14C8"/>
    <w:rsid w:val="00BA186E"/>
    <w:rsid w:val="00BA255D"/>
    <w:rsid w:val="00BA5FA2"/>
    <w:rsid w:val="00BA6683"/>
    <w:rsid w:val="00BB1007"/>
    <w:rsid w:val="00BB2672"/>
    <w:rsid w:val="00BB3AA1"/>
    <w:rsid w:val="00BB5343"/>
    <w:rsid w:val="00BC00DF"/>
    <w:rsid w:val="00BC1D82"/>
    <w:rsid w:val="00BC3417"/>
    <w:rsid w:val="00BC3646"/>
    <w:rsid w:val="00BC6837"/>
    <w:rsid w:val="00BC73E2"/>
    <w:rsid w:val="00BC7AE9"/>
    <w:rsid w:val="00BC7D18"/>
    <w:rsid w:val="00BD005C"/>
    <w:rsid w:val="00BD7B42"/>
    <w:rsid w:val="00BE3BFE"/>
    <w:rsid w:val="00BE3F02"/>
    <w:rsid w:val="00BE45F6"/>
    <w:rsid w:val="00BE6732"/>
    <w:rsid w:val="00BF14CB"/>
    <w:rsid w:val="00BF2651"/>
    <w:rsid w:val="00BF523D"/>
    <w:rsid w:val="00BF6EC9"/>
    <w:rsid w:val="00C00A3F"/>
    <w:rsid w:val="00C01154"/>
    <w:rsid w:val="00C02263"/>
    <w:rsid w:val="00C02C66"/>
    <w:rsid w:val="00C039C7"/>
    <w:rsid w:val="00C10054"/>
    <w:rsid w:val="00C112FF"/>
    <w:rsid w:val="00C160D4"/>
    <w:rsid w:val="00C17630"/>
    <w:rsid w:val="00C22096"/>
    <w:rsid w:val="00C22826"/>
    <w:rsid w:val="00C22AFB"/>
    <w:rsid w:val="00C23F9C"/>
    <w:rsid w:val="00C2643D"/>
    <w:rsid w:val="00C33008"/>
    <w:rsid w:val="00C350A4"/>
    <w:rsid w:val="00C3712B"/>
    <w:rsid w:val="00C37175"/>
    <w:rsid w:val="00C45146"/>
    <w:rsid w:val="00C45850"/>
    <w:rsid w:val="00C45BF8"/>
    <w:rsid w:val="00C51034"/>
    <w:rsid w:val="00C53C94"/>
    <w:rsid w:val="00C53FA1"/>
    <w:rsid w:val="00C576F6"/>
    <w:rsid w:val="00C607A2"/>
    <w:rsid w:val="00C61731"/>
    <w:rsid w:val="00C667D4"/>
    <w:rsid w:val="00C6788D"/>
    <w:rsid w:val="00C67B93"/>
    <w:rsid w:val="00C704B6"/>
    <w:rsid w:val="00C7131C"/>
    <w:rsid w:val="00C74F04"/>
    <w:rsid w:val="00C77135"/>
    <w:rsid w:val="00C80B37"/>
    <w:rsid w:val="00C81D1E"/>
    <w:rsid w:val="00C83413"/>
    <w:rsid w:val="00C865D9"/>
    <w:rsid w:val="00C90EF8"/>
    <w:rsid w:val="00C94F6A"/>
    <w:rsid w:val="00C966E6"/>
    <w:rsid w:val="00C96CDA"/>
    <w:rsid w:val="00C96FF4"/>
    <w:rsid w:val="00CA44C7"/>
    <w:rsid w:val="00CA4D95"/>
    <w:rsid w:val="00CA746E"/>
    <w:rsid w:val="00CA775F"/>
    <w:rsid w:val="00CB00E0"/>
    <w:rsid w:val="00CB0608"/>
    <w:rsid w:val="00CB0989"/>
    <w:rsid w:val="00CB1160"/>
    <w:rsid w:val="00CB26B2"/>
    <w:rsid w:val="00CB6DAD"/>
    <w:rsid w:val="00CC120F"/>
    <w:rsid w:val="00CC16E4"/>
    <w:rsid w:val="00CC4768"/>
    <w:rsid w:val="00CC57E9"/>
    <w:rsid w:val="00CD1436"/>
    <w:rsid w:val="00CE0338"/>
    <w:rsid w:val="00CE179C"/>
    <w:rsid w:val="00CE2EDB"/>
    <w:rsid w:val="00CE30B3"/>
    <w:rsid w:val="00CE7550"/>
    <w:rsid w:val="00CF1038"/>
    <w:rsid w:val="00CF30DF"/>
    <w:rsid w:val="00CF6724"/>
    <w:rsid w:val="00CF7371"/>
    <w:rsid w:val="00D00114"/>
    <w:rsid w:val="00D01648"/>
    <w:rsid w:val="00D024F4"/>
    <w:rsid w:val="00D029A5"/>
    <w:rsid w:val="00D07A9C"/>
    <w:rsid w:val="00D100C6"/>
    <w:rsid w:val="00D106D3"/>
    <w:rsid w:val="00D10D4A"/>
    <w:rsid w:val="00D1104D"/>
    <w:rsid w:val="00D13F98"/>
    <w:rsid w:val="00D15A2E"/>
    <w:rsid w:val="00D15A96"/>
    <w:rsid w:val="00D212B2"/>
    <w:rsid w:val="00D22C3F"/>
    <w:rsid w:val="00D23992"/>
    <w:rsid w:val="00D25AB1"/>
    <w:rsid w:val="00D26059"/>
    <w:rsid w:val="00D30BEF"/>
    <w:rsid w:val="00D31B66"/>
    <w:rsid w:val="00D35DF9"/>
    <w:rsid w:val="00D36C0F"/>
    <w:rsid w:val="00D37116"/>
    <w:rsid w:val="00D4679C"/>
    <w:rsid w:val="00D46E99"/>
    <w:rsid w:val="00D50874"/>
    <w:rsid w:val="00D546DD"/>
    <w:rsid w:val="00D54954"/>
    <w:rsid w:val="00D615C7"/>
    <w:rsid w:val="00D640BB"/>
    <w:rsid w:val="00D643CC"/>
    <w:rsid w:val="00D754FF"/>
    <w:rsid w:val="00D776A6"/>
    <w:rsid w:val="00D83057"/>
    <w:rsid w:val="00D8474D"/>
    <w:rsid w:val="00D874CF"/>
    <w:rsid w:val="00D87672"/>
    <w:rsid w:val="00D87EB4"/>
    <w:rsid w:val="00D920A2"/>
    <w:rsid w:val="00D94E57"/>
    <w:rsid w:val="00D9623F"/>
    <w:rsid w:val="00D96476"/>
    <w:rsid w:val="00DA2448"/>
    <w:rsid w:val="00DA26D5"/>
    <w:rsid w:val="00DB01F3"/>
    <w:rsid w:val="00DB281F"/>
    <w:rsid w:val="00DB55D3"/>
    <w:rsid w:val="00DB7D52"/>
    <w:rsid w:val="00DC0FF2"/>
    <w:rsid w:val="00DD2679"/>
    <w:rsid w:val="00DD3732"/>
    <w:rsid w:val="00DE4C0A"/>
    <w:rsid w:val="00DE7FCC"/>
    <w:rsid w:val="00DF1254"/>
    <w:rsid w:val="00DF2A49"/>
    <w:rsid w:val="00DF742B"/>
    <w:rsid w:val="00E00C88"/>
    <w:rsid w:val="00E07DD6"/>
    <w:rsid w:val="00E14339"/>
    <w:rsid w:val="00E14A37"/>
    <w:rsid w:val="00E20133"/>
    <w:rsid w:val="00E208E1"/>
    <w:rsid w:val="00E23798"/>
    <w:rsid w:val="00E2533D"/>
    <w:rsid w:val="00E2780C"/>
    <w:rsid w:val="00E27BC6"/>
    <w:rsid w:val="00E309F5"/>
    <w:rsid w:val="00E32E48"/>
    <w:rsid w:val="00E33C0B"/>
    <w:rsid w:val="00E3706C"/>
    <w:rsid w:val="00E41C29"/>
    <w:rsid w:val="00E42875"/>
    <w:rsid w:val="00E436F2"/>
    <w:rsid w:val="00E53F4D"/>
    <w:rsid w:val="00E540B7"/>
    <w:rsid w:val="00E5459A"/>
    <w:rsid w:val="00E548FA"/>
    <w:rsid w:val="00E54B4C"/>
    <w:rsid w:val="00E55458"/>
    <w:rsid w:val="00E6140C"/>
    <w:rsid w:val="00E619C3"/>
    <w:rsid w:val="00E62934"/>
    <w:rsid w:val="00E66428"/>
    <w:rsid w:val="00E7240E"/>
    <w:rsid w:val="00E7253F"/>
    <w:rsid w:val="00E72643"/>
    <w:rsid w:val="00E80644"/>
    <w:rsid w:val="00E80D69"/>
    <w:rsid w:val="00E80F6D"/>
    <w:rsid w:val="00E83165"/>
    <w:rsid w:val="00E83609"/>
    <w:rsid w:val="00E83E7F"/>
    <w:rsid w:val="00E902E7"/>
    <w:rsid w:val="00E90E86"/>
    <w:rsid w:val="00E94BAE"/>
    <w:rsid w:val="00E94E3D"/>
    <w:rsid w:val="00EA4356"/>
    <w:rsid w:val="00EA4ACF"/>
    <w:rsid w:val="00EA60D0"/>
    <w:rsid w:val="00EA77B4"/>
    <w:rsid w:val="00EB1986"/>
    <w:rsid w:val="00EB23A7"/>
    <w:rsid w:val="00EB3695"/>
    <w:rsid w:val="00EB37B2"/>
    <w:rsid w:val="00EB3C20"/>
    <w:rsid w:val="00EB5DA4"/>
    <w:rsid w:val="00EB68BD"/>
    <w:rsid w:val="00EC228E"/>
    <w:rsid w:val="00EC750F"/>
    <w:rsid w:val="00ED0DF2"/>
    <w:rsid w:val="00ED29FF"/>
    <w:rsid w:val="00ED2B75"/>
    <w:rsid w:val="00ED56F9"/>
    <w:rsid w:val="00ED5CB1"/>
    <w:rsid w:val="00ED7426"/>
    <w:rsid w:val="00EE412F"/>
    <w:rsid w:val="00EE716D"/>
    <w:rsid w:val="00EF1CF9"/>
    <w:rsid w:val="00EF5326"/>
    <w:rsid w:val="00F02162"/>
    <w:rsid w:val="00F0462C"/>
    <w:rsid w:val="00F04D49"/>
    <w:rsid w:val="00F062AE"/>
    <w:rsid w:val="00F06C72"/>
    <w:rsid w:val="00F07B64"/>
    <w:rsid w:val="00F1022D"/>
    <w:rsid w:val="00F13CB2"/>
    <w:rsid w:val="00F144DD"/>
    <w:rsid w:val="00F157C9"/>
    <w:rsid w:val="00F15952"/>
    <w:rsid w:val="00F17138"/>
    <w:rsid w:val="00F17596"/>
    <w:rsid w:val="00F21FF3"/>
    <w:rsid w:val="00F22E1C"/>
    <w:rsid w:val="00F25001"/>
    <w:rsid w:val="00F269A3"/>
    <w:rsid w:val="00F35EBD"/>
    <w:rsid w:val="00F423BB"/>
    <w:rsid w:val="00F439E3"/>
    <w:rsid w:val="00F452BF"/>
    <w:rsid w:val="00F47154"/>
    <w:rsid w:val="00F51242"/>
    <w:rsid w:val="00F52DDC"/>
    <w:rsid w:val="00F53E35"/>
    <w:rsid w:val="00F53F3C"/>
    <w:rsid w:val="00F542BB"/>
    <w:rsid w:val="00F550AA"/>
    <w:rsid w:val="00F57615"/>
    <w:rsid w:val="00F57ABC"/>
    <w:rsid w:val="00F603E9"/>
    <w:rsid w:val="00F60930"/>
    <w:rsid w:val="00F628CF"/>
    <w:rsid w:val="00F659F8"/>
    <w:rsid w:val="00F72A5F"/>
    <w:rsid w:val="00F81218"/>
    <w:rsid w:val="00F85D58"/>
    <w:rsid w:val="00F86FD0"/>
    <w:rsid w:val="00F876A1"/>
    <w:rsid w:val="00F90162"/>
    <w:rsid w:val="00F94B4B"/>
    <w:rsid w:val="00F957DE"/>
    <w:rsid w:val="00F9755F"/>
    <w:rsid w:val="00FA1321"/>
    <w:rsid w:val="00FA35DF"/>
    <w:rsid w:val="00FA5EA1"/>
    <w:rsid w:val="00FA68AC"/>
    <w:rsid w:val="00FA7D1B"/>
    <w:rsid w:val="00FB0574"/>
    <w:rsid w:val="00FB1CEC"/>
    <w:rsid w:val="00FB3B35"/>
    <w:rsid w:val="00FD03FE"/>
    <w:rsid w:val="00FD34AC"/>
    <w:rsid w:val="00FD5067"/>
    <w:rsid w:val="00FD6402"/>
    <w:rsid w:val="00FE0835"/>
    <w:rsid w:val="00FE1A63"/>
    <w:rsid w:val="00FE1DCF"/>
    <w:rsid w:val="00FE4F3B"/>
    <w:rsid w:val="00FE6389"/>
    <w:rsid w:val="00FF2DBD"/>
    <w:rsid w:val="00FF3586"/>
    <w:rsid w:val="00FF43A7"/>
    <w:rsid w:val="00FF653D"/>
    <w:rsid w:val="00FF6B72"/>
    <w:rsid w:val="02176491"/>
    <w:rsid w:val="033008BB"/>
    <w:rsid w:val="03B5479A"/>
    <w:rsid w:val="04E75425"/>
    <w:rsid w:val="05BF0EC0"/>
    <w:rsid w:val="060D57BD"/>
    <w:rsid w:val="0633427F"/>
    <w:rsid w:val="064050A3"/>
    <w:rsid w:val="06CF0B37"/>
    <w:rsid w:val="089B0BA3"/>
    <w:rsid w:val="08F300CC"/>
    <w:rsid w:val="091A24A5"/>
    <w:rsid w:val="09F110DC"/>
    <w:rsid w:val="0A2A4FD9"/>
    <w:rsid w:val="0AB1158E"/>
    <w:rsid w:val="0B19028B"/>
    <w:rsid w:val="0B704738"/>
    <w:rsid w:val="0C2052F1"/>
    <w:rsid w:val="0CBE77E3"/>
    <w:rsid w:val="0D047654"/>
    <w:rsid w:val="0D4F6360"/>
    <w:rsid w:val="0E661B1F"/>
    <w:rsid w:val="0EEB36EC"/>
    <w:rsid w:val="1034236A"/>
    <w:rsid w:val="11091EDE"/>
    <w:rsid w:val="112D3C05"/>
    <w:rsid w:val="11676D8E"/>
    <w:rsid w:val="11692025"/>
    <w:rsid w:val="122F7A83"/>
    <w:rsid w:val="123D2214"/>
    <w:rsid w:val="12870DE3"/>
    <w:rsid w:val="12DF08FF"/>
    <w:rsid w:val="12E01AE0"/>
    <w:rsid w:val="13B764A4"/>
    <w:rsid w:val="13C14764"/>
    <w:rsid w:val="13F057E8"/>
    <w:rsid w:val="13F60738"/>
    <w:rsid w:val="14036BF5"/>
    <w:rsid w:val="151A0C8B"/>
    <w:rsid w:val="15753885"/>
    <w:rsid w:val="15BF475D"/>
    <w:rsid w:val="16895DD4"/>
    <w:rsid w:val="170E28A5"/>
    <w:rsid w:val="173B133D"/>
    <w:rsid w:val="174072B9"/>
    <w:rsid w:val="19406E97"/>
    <w:rsid w:val="19E77A9E"/>
    <w:rsid w:val="1B2A0CD8"/>
    <w:rsid w:val="1B303988"/>
    <w:rsid w:val="1C362180"/>
    <w:rsid w:val="1C444C2C"/>
    <w:rsid w:val="1CA621D5"/>
    <w:rsid w:val="1D817E5B"/>
    <w:rsid w:val="1D8C2D63"/>
    <w:rsid w:val="1E7A7D2E"/>
    <w:rsid w:val="1F337795"/>
    <w:rsid w:val="1FD431C5"/>
    <w:rsid w:val="20DD6539"/>
    <w:rsid w:val="212B3A00"/>
    <w:rsid w:val="215C6B13"/>
    <w:rsid w:val="21C15225"/>
    <w:rsid w:val="221D19D3"/>
    <w:rsid w:val="228760BF"/>
    <w:rsid w:val="22AD6357"/>
    <w:rsid w:val="22CF66FD"/>
    <w:rsid w:val="231247EE"/>
    <w:rsid w:val="243D7784"/>
    <w:rsid w:val="24853F58"/>
    <w:rsid w:val="24B418A3"/>
    <w:rsid w:val="256673C2"/>
    <w:rsid w:val="25992B51"/>
    <w:rsid w:val="259E479A"/>
    <w:rsid w:val="25FA6E90"/>
    <w:rsid w:val="26316CB1"/>
    <w:rsid w:val="26D05835"/>
    <w:rsid w:val="26DC0732"/>
    <w:rsid w:val="271504ED"/>
    <w:rsid w:val="27511125"/>
    <w:rsid w:val="287A7B87"/>
    <w:rsid w:val="28A528ED"/>
    <w:rsid w:val="28B437CB"/>
    <w:rsid w:val="29187F8D"/>
    <w:rsid w:val="294F10B8"/>
    <w:rsid w:val="29D447F6"/>
    <w:rsid w:val="29F50989"/>
    <w:rsid w:val="2A523EF2"/>
    <w:rsid w:val="2A9206AC"/>
    <w:rsid w:val="2AD97BAB"/>
    <w:rsid w:val="2B291268"/>
    <w:rsid w:val="2BA423B9"/>
    <w:rsid w:val="2BB52D65"/>
    <w:rsid w:val="2BD7234A"/>
    <w:rsid w:val="2BE97BA4"/>
    <w:rsid w:val="2BF717F3"/>
    <w:rsid w:val="2C0D7667"/>
    <w:rsid w:val="2C437A37"/>
    <w:rsid w:val="2C533744"/>
    <w:rsid w:val="2C6C4A86"/>
    <w:rsid w:val="2CD136FF"/>
    <w:rsid w:val="2D2C08E1"/>
    <w:rsid w:val="2DB875F3"/>
    <w:rsid w:val="2DD82900"/>
    <w:rsid w:val="2DF82992"/>
    <w:rsid w:val="2E034196"/>
    <w:rsid w:val="2EFF215F"/>
    <w:rsid w:val="2F236CBC"/>
    <w:rsid w:val="2FC977C0"/>
    <w:rsid w:val="304A36F4"/>
    <w:rsid w:val="3086332C"/>
    <w:rsid w:val="31182324"/>
    <w:rsid w:val="317B1DBF"/>
    <w:rsid w:val="31F348B7"/>
    <w:rsid w:val="32CB348B"/>
    <w:rsid w:val="32CD72CC"/>
    <w:rsid w:val="33657E90"/>
    <w:rsid w:val="33C65DCA"/>
    <w:rsid w:val="346910F4"/>
    <w:rsid w:val="34853694"/>
    <w:rsid w:val="34CC0E57"/>
    <w:rsid w:val="350677B1"/>
    <w:rsid w:val="35591EB5"/>
    <w:rsid w:val="35921100"/>
    <w:rsid w:val="35E47C47"/>
    <w:rsid w:val="365D438B"/>
    <w:rsid w:val="36CD7F81"/>
    <w:rsid w:val="373454E3"/>
    <w:rsid w:val="37AD1EC7"/>
    <w:rsid w:val="382A7AEF"/>
    <w:rsid w:val="38825F38"/>
    <w:rsid w:val="38C5370F"/>
    <w:rsid w:val="38D56486"/>
    <w:rsid w:val="396B57BF"/>
    <w:rsid w:val="39722413"/>
    <w:rsid w:val="39ED5494"/>
    <w:rsid w:val="3B8717C1"/>
    <w:rsid w:val="3BD15891"/>
    <w:rsid w:val="3C1856B8"/>
    <w:rsid w:val="3C1F7762"/>
    <w:rsid w:val="3C492996"/>
    <w:rsid w:val="3CB32C0A"/>
    <w:rsid w:val="3D13421D"/>
    <w:rsid w:val="3E0A1BEB"/>
    <w:rsid w:val="3E662E22"/>
    <w:rsid w:val="3EBC6486"/>
    <w:rsid w:val="4023235B"/>
    <w:rsid w:val="403E6C5E"/>
    <w:rsid w:val="407B35C7"/>
    <w:rsid w:val="40DF3BA5"/>
    <w:rsid w:val="41096C2F"/>
    <w:rsid w:val="41120C7C"/>
    <w:rsid w:val="41A374C2"/>
    <w:rsid w:val="42247D62"/>
    <w:rsid w:val="42970931"/>
    <w:rsid w:val="42CC3156"/>
    <w:rsid w:val="42D33049"/>
    <w:rsid w:val="42D7219B"/>
    <w:rsid w:val="436E44C7"/>
    <w:rsid w:val="437354CD"/>
    <w:rsid w:val="43BD506E"/>
    <w:rsid w:val="43CE09E5"/>
    <w:rsid w:val="442A0162"/>
    <w:rsid w:val="452D0F3B"/>
    <w:rsid w:val="45586FEE"/>
    <w:rsid w:val="45B31D7D"/>
    <w:rsid w:val="46153C9C"/>
    <w:rsid w:val="46835E89"/>
    <w:rsid w:val="46F25B86"/>
    <w:rsid w:val="47282037"/>
    <w:rsid w:val="474565F0"/>
    <w:rsid w:val="47DE746F"/>
    <w:rsid w:val="4835572E"/>
    <w:rsid w:val="486056EC"/>
    <w:rsid w:val="48A65FBC"/>
    <w:rsid w:val="48B8386A"/>
    <w:rsid w:val="49145C19"/>
    <w:rsid w:val="4A6C06D2"/>
    <w:rsid w:val="4A9D7A29"/>
    <w:rsid w:val="4ABD3DD2"/>
    <w:rsid w:val="4BD4099F"/>
    <w:rsid w:val="4C6F72DE"/>
    <w:rsid w:val="4C7005B3"/>
    <w:rsid w:val="4E231932"/>
    <w:rsid w:val="4E6C0ECF"/>
    <w:rsid w:val="4E923B16"/>
    <w:rsid w:val="4F1651D4"/>
    <w:rsid w:val="4F7836C3"/>
    <w:rsid w:val="4FB93BBD"/>
    <w:rsid w:val="50096BD2"/>
    <w:rsid w:val="502B704B"/>
    <w:rsid w:val="502D7573"/>
    <w:rsid w:val="506D479C"/>
    <w:rsid w:val="50BA569B"/>
    <w:rsid w:val="50D104AF"/>
    <w:rsid w:val="51475EAF"/>
    <w:rsid w:val="51492739"/>
    <w:rsid w:val="51876D0D"/>
    <w:rsid w:val="51B748EB"/>
    <w:rsid w:val="51BE47EE"/>
    <w:rsid w:val="51D21EDC"/>
    <w:rsid w:val="520714D3"/>
    <w:rsid w:val="52137701"/>
    <w:rsid w:val="525C10C0"/>
    <w:rsid w:val="52695BD1"/>
    <w:rsid w:val="52A341A2"/>
    <w:rsid w:val="53ED67EE"/>
    <w:rsid w:val="54177ADD"/>
    <w:rsid w:val="54873177"/>
    <w:rsid w:val="54B73EEF"/>
    <w:rsid w:val="54CA23CA"/>
    <w:rsid w:val="5512278F"/>
    <w:rsid w:val="552C23A8"/>
    <w:rsid w:val="560E5F86"/>
    <w:rsid w:val="565662F9"/>
    <w:rsid w:val="58412ED9"/>
    <w:rsid w:val="59944773"/>
    <w:rsid w:val="5A2E2F8A"/>
    <w:rsid w:val="5A4A0364"/>
    <w:rsid w:val="5A933BE2"/>
    <w:rsid w:val="5A9E5472"/>
    <w:rsid w:val="5AE65370"/>
    <w:rsid w:val="5B2059F9"/>
    <w:rsid w:val="5C3E4E5B"/>
    <w:rsid w:val="5C7B2F2F"/>
    <w:rsid w:val="5CAE2911"/>
    <w:rsid w:val="5CF01637"/>
    <w:rsid w:val="5DE11728"/>
    <w:rsid w:val="5E1F1152"/>
    <w:rsid w:val="5F0F4FB1"/>
    <w:rsid w:val="5F5226F9"/>
    <w:rsid w:val="5F943DAC"/>
    <w:rsid w:val="601B5337"/>
    <w:rsid w:val="60392093"/>
    <w:rsid w:val="604B754F"/>
    <w:rsid w:val="60A61EA4"/>
    <w:rsid w:val="60BD3F48"/>
    <w:rsid w:val="615722CF"/>
    <w:rsid w:val="61A02952"/>
    <w:rsid w:val="63332CE2"/>
    <w:rsid w:val="63AD5698"/>
    <w:rsid w:val="643E397B"/>
    <w:rsid w:val="646E524A"/>
    <w:rsid w:val="64964297"/>
    <w:rsid w:val="64EF49BB"/>
    <w:rsid w:val="650C6D95"/>
    <w:rsid w:val="652F4CD8"/>
    <w:rsid w:val="657D3011"/>
    <w:rsid w:val="65F934A5"/>
    <w:rsid w:val="660504A2"/>
    <w:rsid w:val="661425F8"/>
    <w:rsid w:val="6671766D"/>
    <w:rsid w:val="67276465"/>
    <w:rsid w:val="67535132"/>
    <w:rsid w:val="67AF6668"/>
    <w:rsid w:val="67DA1D94"/>
    <w:rsid w:val="680C6802"/>
    <w:rsid w:val="685632A9"/>
    <w:rsid w:val="68853107"/>
    <w:rsid w:val="68F87F45"/>
    <w:rsid w:val="695C3CC9"/>
    <w:rsid w:val="69AC087D"/>
    <w:rsid w:val="6A8F4A93"/>
    <w:rsid w:val="6B0E100A"/>
    <w:rsid w:val="6BC44710"/>
    <w:rsid w:val="6C213774"/>
    <w:rsid w:val="6C2F759D"/>
    <w:rsid w:val="6C6B4DE1"/>
    <w:rsid w:val="6D2569A2"/>
    <w:rsid w:val="6DF826B2"/>
    <w:rsid w:val="6EDC0609"/>
    <w:rsid w:val="6F283C13"/>
    <w:rsid w:val="6F2D53C1"/>
    <w:rsid w:val="6F9837E4"/>
    <w:rsid w:val="70391BEC"/>
    <w:rsid w:val="7045540C"/>
    <w:rsid w:val="70664847"/>
    <w:rsid w:val="7137592F"/>
    <w:rsid w:val="71501BAC"/>
    <w:rsid w:val="7192008A"/>
    <w:rsid w:val="71CC02F7"/>
    <w:rsid w:val="7273760E"/>
    <w:rsid w:val="734E2D80"/>
    <w:rsid w:val="735C6F33"/>
    <w:rsid w:val="74175CDA"/>
    <w:rsid w:val="74945FCF"/>
    <w:rsid w:val="74A72DE4"/>
    <w:rsid w:val="74D36D87"/>
    <w:rsid w:val="765D586A"/>
    <w:rsid w:val="77662668"/>
    <w:rsid w:val="77893F0F"/>
    <w:rsid w:val="786D4FC8"/>
    <w:rsid w:val="78DB26C6"/>
    <w:rsid w:val="790A292E"/>
    <w:rsid w:val="79523A81"/>
    <w:rsid w:val="79E34305"/>
    <w:rsid w:val="7A844AD1"/>
    <w:rsid w:val="7AD063E7"/>
    <w:rsid w:val="7B533D87"/>
    <w:rsid w:val="7BA13D41"/>
    <w:rsid w:val="7C775D5B"/>
    <w:rsid w:val="7C9F0D27"/>
    <w:rsid w:val="7CA3314F"/>
    <w:rsid w:val="7CD11DE5"/>
    <w:rsid w:val="7E053094"/>
    <w:rsid w:val="7E3F3D02"/>
    <w:rsid w:val="7F22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Calibri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页脚 Char"/>
    <w:basedOn w:val="7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basedOn w:val="7"/>
    <w:link w:val="5"/>
    <w:semiHidden/>
    <w:qFormat/>
    <w:locked/>
    <w:uiPriority w:val="99"/>
    <w:rPr>
      <w:rFonts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locked/>
    <w:uiPriority w:val="99"/>
    <w:rPr>
      <w:rFonts w:eastAsia="仿宋_GB2312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557D09-3C30-4763-9263-18FEA19F33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1061</Words>
  <Characters>6049</Characters>
  <Lines>50</Lines>
  <Paragraphs>14</Paragraphs>
  <TotalTime>0</TotalTime>
  <ScaleCrop>false</ScaleCrop>
  <LinksUpToDate>false</LinksUpToDate>
  <CharactersWithSpaces>7096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2020-12-28T06:33:00Z</dcterms:created>
  <dc:creator>zjc</dc:creator>
  <cp:lastModifiedBy>Administrator</cp:lastModifiedBy>
  <cp:lastPrinted>2022-12-15T05:44:00Z</cp:lastPrinted>
  <dcterms:modified xsi:type="dcterms:W3CDTF">2023-01-11T00:57:39Z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8980659CF2EE4D06A3E7A810EAB99E47</vt:lpwstr>
  </property>
</Properties>
</file>