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640" w:lineRule="exact"/>
        <w:jc w:val="center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关于庄河市2023年预算执行情况</w:t>
      </w:r>
    </w:p>
    <w:p>
      <w:pPr>
        <w:spacing w:line="640" w:lineRule="exact"/>
        <w:jc w:val="center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和2024年预算草案的书面报告</w:t>
      </w:r>
    </w:p>
    <w:p>
      <w:pPr>
        <w:spacing w:line="320" w:lineRule="exact"/>
        <w:jc w:val="center"/>
        <w:rPr>
          <w:rFonts w:ascii="仿宋_GB2312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spacing w:line="640" w:lineRule="exact"/>
        <w:jc w:val="center"/>
        <w:rPr>
          <w:rFonts w:ascii="宋体" w:hAnsi="宋体" w:eastAsia="宋体" w:cs="宋体"/>
          <w:color w:val="000000" w:themeColor="text1"/>
          <w:spacing w:val="-2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pacing w:val="-20"/>
          <w14:textFill>
            <w14:solidFill>
              <w14:schemeClr w14:val="tx1"/>
            </w14:solidFill>
          </w14:textFill>
        </w:rPr>
        <w:t>—— 202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3年12月27日在庄河市第八届人民</w:t>
      </w:r>
      <w:r>
        <w:rPr>
          <w:rFonts w:hint="eastAsia" w:ascii="楷体_GB2312" w:hAnsi="宋体" w:eastAsia="楷体_GB2312" w:cs="宋体"/>
          <w:color w:val="000000" w:themeColor="text1"/>
          <w:spacing w:val="-20"/>
          <w14:textFill>
            <w14:solidFill>
              <w14:schemeClr w14:val="tx1"/>
            </w14:solidFill>
          </w14:textFill>
        </w:rPr>
        <w:t>代表大会第三次会议上</w:t>
      </w:r>
    </w:p>
    <w:p>
      <w:pPr>
        <w:spacing w:line="320" w:lineRule="exact"/>
        <w:jc w:val="center"/>
        <w:rPr>
          <w:rFonts w:ascii="仿宋_GB2312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庄河市财政局</w:t>
      </w:r>
    </w:p>
    <w:p>
      <w:pPr>
        <w:spacing w:line="640" w:lineRule="exact"/>
        <w:jc w:val="center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20" w:lineRule="exact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各位代表：</w:t>
      </w:r>
    </w:p>
    <w:p>
      <w:pPr>
        <w:spacing w:line="600" w:lineRule="exact"/>
        <w:ind w:firstLine="623" w:firstLineChars="197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受市政府委托，现将我</w:t>
      </w:r>
      <w:r>
        <w:rPr>
          <w:rFonts w:hint="eastAsia" w:ascii="仿宋_GB2312"/>
          <w:color w:val="000000" w:themeColor="text1"/>
          <w:spacing w:val="-20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2023年预算执行情况</w:t>
      </w:r>
      <w:r>
        <w:rPr>
          <w:rFonts w:hint="eastAsia" w:ascii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（由于本报告时间早于财政决算日，收支数字均为预计数）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和2024年预算草案提请本次会议审议，并请市政协委员提出意见。</w:t>
      </w:r>
    </w:p>
    <w:p>
      <w:pPr>
        <w:spacing w:line="600" w:lineRule="exact"/>
        <w:ind w:firstLine="623" w:firstLineChars="197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一、2023年预算执行情况</w:t>
      </w:r>
    </w:p>
    <w:p>
      <w:pPr>
        <w:spacing w:line="600" w:lineRule="exact"/>
        <w:ind w:firstLine="623" w:firstLineChars="197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2023年,我市预算执行情况如下</w:t>
      </w:r>
      <w:r>
        <w:rPr>
          <w:rFonts w:hint="eastAsia" w:ascii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（详见附表）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spacing w:line="600" w:lineRule="exact"/>
        <w:ind w:firstLine="465" w:firstLineChars="147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（一）一般公共预算执行情况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" w:hAnsi="仿宋" w:eastAsia="仿宋" w:cs="仿宋"/>
          <w:b/>
          <w:bCs/>
        </w:rPr>
        <w:t>1、全市执行情况。</w:t>
      </w:r>
      <w:r>
        <w:rPr>
          <w:rFonts w:hint="eastAsia" w:ascii="仿宋_GB2312"/>
        </w:rPr>
        <w:t>收入621,000万元，完成年初预算的105.9%，增长</w:t>
      </w:r>
      <w:r>
        <w:rPr>
          <w:rFonts w:hint="eastAsia" w:ascii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（收支增减均比上年实际）</w:t>
      </w:r>
      <w:r>
        <w:rPr>
          <w:rFonts w:hint="eastAsia" w:ascii="仿宋_GB2312"/>
        </w:rPr>
        <w:t>1%。其中：税收收入256,504万元，完成年初预算的118.7%；非税收入364,496万元，完成年初预算的98.4%；完成的这些收入，加上上级转移支付收入331,507万元、动用预算稳定调节基金8,818万元、调入国有资本经营预算22万元、调入其他资金6,759万元、地方政府一般债务转贷收入112,539万元、 上年结转收入239,108万元，全市一般公共预算收入总量1,319,753万元；支出802,217万元，完成年初预算的115.4%，增长7.6%，加上上解上级支出70,000万元、安排预算稳定调节基金192,321万元、地方政府一般债务还本支出112,539万元、调出资金12,676万元、结转下年支出130,000万元，全市一般公共预算支出总量1,319,753万元。收支相抵，预算平衡。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" w:hAnsi="仿宋" w:eastAsia="仿宋" w:cs="仿宋"/>
          <w:b/>
          <w:bCs/>
        </w:rPr>
        <w:t>2、市本级执行情况。</w:t>
      </w:r>
      <w:r>
        <w:rPr>
          <w:rFonts w:hint="eastAsia" w:ascii="仿宋_GB2312"/>
        </w:rPr>
        <w:t>收入385,500万元，完成年初预算的96.8%，下降12.4%。其中：税收收入50,036万元，完成年初预算的124.2%；非税收入335,464万元，完成年初预算的93.7%。完成的这些收入，加上上级转移支付收入331,507万元、下级上解收入26,497万元、调入国有资本经营预算22万元、调入其他资金3,318万元、地方政府一般债务转贷收入112,539万元、上年结转收入239,108万元，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市本级一般公共预算收入总量1,098,491万元。支出576,330</w:t>
      </w:r>
      <w:r>
        <w:rPr>
          <w:rFonts w:hint="eastAsia" w:ascii="仿宋_GB2312"/>
        </w:rPr>
        <w:t>万元，完成年初预算的112.8%，增长1.7%。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加上上解上级支出70,000万元、补助下级支出26,946万元、安排预算稳定调节基金170,000万元、</w:t>
      </w:r>
      <w:r>
        <w:rPr>
          <w:rFonts w:hint="eastAsia" w:ascii="仿宋_GB2312"/>
        </w:rPr>
        <w:t>地方政府一般债务还本支出112,539万元、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调出资金12,676万元、结转下年支出130,000</w:t>
      </w:r>
      <w:r>
        <w:rPr>
          <w:rFonts w:hint="eastAsia" w:ascii="仿宋_GB2312"/>
        </w:rPr>
        <w:t>万元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，市本级</w:t>
      </w:r>
      <w:r>
        <w:rPr>
          <w:rFonts w:hint="eastAsia" w:ascii="仿宋_GB2312"/>
        </w:rPr>
        <w:t>一般公共预算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支出总量1,098,491万元。</w:t>
      </w:r>
      <w:r>
        <w:rPr>
          <w:rFonts w:hint="eastAsia" w:ascii="仿宋_GB2312"/>
        </w:rPr>
        <w:t>收支相抵，预算平衡。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市本级支出</w:t>
      </w:r>
      <w:r>
        <w:rPr>
          <w:rFonts w:hint="eastAsia" w:ascii="仿宋_GB2312"/>
        </w:rPr>
        <w:t>具体完成情况。(1)一般公共服务支出18,685万元，下降3%；(2)国防支出447万元，增长893.3%；(3)公共安全支出17,201万元，下降20.6%；(4)教育支出77,925万元，下降18.9%；(5)科学技术支出106万元，下降53.1%；(6)文化旅游体育与传媒支出2,238万元，下降61.9%；(7)社会保障与就业支出126,887万元，增长19.2%；(8)卫生健康支出31,307万元，下降50.6%；(9)节能环保支出135万元，下降89.1%；(10)城乡社区支出67,277万元，增长17.7%；(11)农林水支出113,518万元，增长3.2%；(12)交通运输支出58,508万元，增长352.4%；(13)资源勘探信息等支出249万元，下降15.3%；(14)商业服务业等支出198万元，下降83.2%；(15)援助其他地区支出100万元，增长100%；(16)自然资源海洋气象等支出3,620万元，下降50.5%；(17)住房保障支出19,875万元，下降20.2%；(18)粮油物资储备支出26万元，下降73.2%；（19）灾害防治及应急管理支出3,107万元，增长39%；(20)其他支出391万元，下降26.9%；(21)债务付息及发行费支出34,530万元。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" w:hAnsi="仿宋" w:eastAsia="仿宋" w:cs="仿宋"/>
          <w:b/>
          <w:bCs/>
        </w:rPr>
        <w:t>3、大连北黄海经济开发区（下称北黄海经开区）和各街道执行情况。</w:t>
      </w:r>
      <w:r>
        <w:rPr>
          <w:rFonts w:hint="eastAsia" w:ascii="仿宋_GB2312" w:hAnsi="楷体" w:cs="楷体"/>
        </w:rPr>
        <w:t>（1）</w:t>
      </w:r>
      <w:r>
        <w:rPr>
          <w:rFonts w:hint="eastAsia" w:ascii="仿宋_GB2312" w:hAnsi="黑体"/>
        </w:rPr>
        <w:t>北黄海经开区完成</w:t>
      </w:r>
      <w:r>
        <w:rPr>
          <w:rFonts w:hint="eastAsia" w:ascii="仿宋_GB2312"/>
        </w:rPr>
        <w:t>收入70,000万元、支出37,537万元；（2）</w:t>
      </w:r>
      <w:r>
        <w:rPr>
          <w:rFonts w:hint="eastAsia" w:ascii="仿宋_GB2312" w:hAnsi="黑体"/>
        </w:rPr>
        <w:t>城关街道完成</w:t>
      </w:r>
      <w:r>
        <w:rPr>
          <w:rFonts w:hint="eastAsia" w:ascii="仿宋_GB2312"/>
        </w:rPr>
        <w:t>收入4,600万元、支出5,140万元；（3）</w:t>
      </w:r>
      <w:r>
        <w:rPr>
          <w:rFonts w:hint="eastAsia" w:ascii="仿宋_GB2312" w:hAnsi="黑体"/>
        </w:rPr>
        <w:t>兴达街道完成</w:t>
      </w:r>
      <w:r>
        <w:rPr>
          <w:rFonts w:hint="eastAsia" w:ascii="仿宋_GB2312"/>
        </w:rPr>
        <w:t>收入2,502万元、支出2,774万元；（4）</w:t>
      </w:r>
      <w:r>
        <w:rPr>
          <w:rFonts w:hint="eastAsia" w:ascii="仿宋_GB2312" w:hAnsi="黑体"/>
        </w:rPr>
        <w:t>新华街道完成</w:t>
      </w:r>
      <w:r>
        <w:rPr>
          <w:rFonts w:hint="eastAsia" w:ascii="仿宋_GB2312"/>
        </w:rPr>
        <w:t>收入3,163万元、支出2,958 万元；（5）</w:t>
      </w:r>
      <w:r>
        <w:rPr>
          <w:rFonts w:hint="eastAsia" w:ascii="仿宋_GB2312" w:hAnsi="黑体"/>
        </w:rPr>
        <w:t>昌盛街道完成</w:t>
      </w:r>
      <w:r>
        <w:rPr>
          <w:rFonts w:hint="eastAsia" w:ascii="仿宋_GB2312"/>
        </w:rPr>
        <w:t>收入2,200万元、支出2,549万元；（6）明阳</w:t>
      </w:r>
      <w:r>
        <w:rPr>
          <w:rFonts w:hint="eastAsia" w:ascii="仿宋_GB2312" w:hAnsi="黑体"/>
        </w:rPr>
        <w:t>街道完成</w:t>
      </w:r>
      <w:r>
        <w:rPr>
          <w:rFonts w:hint="eastAsia" w:ascii="仿宋_GB2312"/>
        </w:rPr>
        <w:t>收入3,310万元、支出3,565万元。</w:t>
      </w:r>
    </w:p>
    <w:p>
      <w:pPr>
        <w:spacing w:line="600" w:lineRule="exact"/>
        <w:ind w:firstLine="465" w:firstLineChars="147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（二）政府性基金预算执行情况</w:t>
      </w:r>
    </w:p>
    <w:p>
      <w:pPr>
        <w:spacing w:line="600" w:lineRule="exact"/>
        <w:ind w:firstLine="632" w:firstLineChars="200"/>
        <w:rPr>
          <w:rFonts w:ascii="仿宋_GB2312" w:hAnsi="黑体"/>
        </w:rPr>
      </w:pPr>
      <w:r>
        <w:rPr>
          <w:rFonts w:hint="eastAsia" w:ascii="仿宋_GB2312" w:hAnsi="黑体"/>
        </w:rPr>
        <w:t>全市政府性基金预算，收入19,284万元，</w:t>
      </w:r>
      <w:r>
        <w:rPr>
          <w:rFonts w:hint="eastAsia" w:ascii="仿宋_GB2312"/>
        </w:rPr>
        <w:t>完成年初预算的</w:t>
      </w:r>
      <w:r>
        <w:rPr>
          <w:rFonts w:hint="eastAsia" w:ascii="仿宋_GB2312" w:hAnsi="黑体"/>
        </w:rPr>
        <w:t>63.5%，增长4.6%</w:t>
      </w:r>
      <w:r>
        <w:rPr>
          <w:rFonts w:hint="eastAsia" w:ascii="仿宋_GB2312" w:hAnsi="黑体"/>
          <w:sz w:val="30"/>
          <w:szCs w:val="30"/>
        </w:rPr>
        <w:t>，加上</w:t>
      </w:r>
      <w:r>
        <w:rPr>
          <w:rFonts w:hint="eastAsia" w:ascii="仿宋_GB2312" w:hAnsi="黑体"/>
        </w:rPr>
        <w:t>上级转移支付收入4,972万元、上年结转收入12,272万元、调入资金12,676万元、</w:t>
      </w:r>
      <w:r>
        <w:rPr>
          <w:rFonts w:hint="eastAsia" w:ascii="仿宋_GB2312"/>
        </w:rPr>
        <w:t>地方政府专项债务转贷收入</w:t>
      </w:r>
      <w:r>
        <w:rPr>
          <w:rFonts w:hint="eastAsia" w:ascii="仿宋_GB2312" w:hAnsi="黑体"/>
        </w:rPr>
        <w:t>65,723万元，政府性基金预算收入总量114,927万元；支出33,097万元，加上调出资金3,318万元、补助下级支出1,453万元、结余77,059万元，按规结转下年使用。</w:t>
      </w:r>
    </w:p>
    <w:p>
      <w:pPr>
        <w:spacing w:line="600" w:lineRule="exact"/>
        <w:ind w:firstLine="465" w:firstLineChars="147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（三）国有资本经营预算执行情况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_GB2312"/>
        </w:rPr>
        <w:t>全市国有资本经营预算,</w:t>
      </w:r>
      <w:r>
        <w:rPr>
          <w:rFonts w:hint="eastAsia" w:ascii="仿宋_GB2312" w:hAnsi="黑体"/>
        </w:rPr>
        <w:t>收入</w:t>
      </w:r>
      <w:r>
        <w:rPr>
          <w:rFonts w:hint="eastAsia" w:ascii="仿宋_GB2312"/>
        </w:rPr>
        <w:t>22万元，完成年初预算的3.4%，下降71.4%，主要是河道砂石资源受市场价格下滑等因素影响，未产生收入，无法上缴国有资本经营收益。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_GB2312"/>
        </w:rPr>
        <w:t>全市国有资本经营预算</w:t>
      </w:r>
      <w:r>
        <w:rPr>
          <w:rFonts w:hint="eastAsia" w:ascii="仿宋_GB2312" w:hAnsi="黑体"/>
        </w:rPr>
        <w:t>不安排支出，全部调入一般公共预算。</w:t>
      </w:r>
    </w:p>
    <w:p>
      <w:pPr>
        <w:spacing w:line="600" w:lineRule="exact"/>
        <w:ind w:firstLine="465" w:firstLineChars="147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（四）社会保险基金预算执行情况</w:t>
      </w:r>
    </w:p>
    <w:p>
      <w:pPr>
        <w:spacing w:line="600" w:lineRule="exact"/>
        <w:ind w:firstLine="632" w:firstLineChars="200"/>
        <w:rPr>
          <w:rFonts w:ascii="仿宋_GB2312" w:hAnsi="宋体"/>
        </w:rPr>
      </w:pPr>
      <w:r>
        <w:rPr>
          <w:rFonts w:hint="eastAsia" w:ascii="仿宋_GB2312" w:hAnsi="仿宋_GB2312" w:cs="仿宋_GB2312"/>
        </w:rPr>
        <w:t>我市负责统筹的是机关事业单位养老保险基金</w:t>
      </w:r>
      <w:r>
        <w:rPr>
          <w:rFonts w:hint="eastAsia" w:ascii="仿宋_GB2312" w:hAnsi="仿宋_GB2312" w:cs="仿宋_GB2312"/>
          <w:sz w:val="30"/>
          <w:szCs w:val="30"/>
        </w:rPr>
        <w:t>（均为市本级），</w:t>
      </w:r>
      <w:r>
        <w:rPr>
          <w:rFonts w:hint="eastAsia" w:ascii="仿宋_GB2312" w:hAnsi="仿宋_GB2312" w:cs="仿宋_GB2312"/>
        </w:rPr>
        <w:t>收入88,015</w:t>
      </w:r>
      <w:r>
        <w:rPr>
          <w:rFonts w:hint="eastAsia" w:ascii="仿宋_GB2312" w:hAnsi="仿宋_GB2312"/>
        </w:rPr>
        <w:t>万元，</w:t>
      </w:r>
      <w:r>
        <w:rPr>
          <w:rFonts w:hint="eastAsia" w:ascii="仿宋_GB2312" w:hAnsi="宋体"/>
        </w:rPr>
        <w:t>其中财政补助收入56,580 万元</w:t>
      </w:r>
      <w:r>
        <w:rPr>
          <w:rFonts w:hint="eastAsia" w:ascii="仿宋_GB2312" w:hAnsi="宋体"/>
          <w:sz w:val="28"/>
          <w:szCs w:val="28"/>
        </w:rPr>
        <w:t>（一般公共预算中在“ 机关事业单位基本养老保险基金财政补助收入”科目反映）</w:t>
      </w:r>
      <w:r>
        <w:rPr>
          <w:rFonts w:hint="eastAsia" w:ascii="仿宋_GB2312" w:hAnsi="仿宋_GB2312"/>
        </w:rPr>
        <w:t>；</w:t>
      </w:r>
      <w:r>
        <w:rPr>
          <w:rFonts w:hint="eastAsia" w:ascii="仿宋_GB2312" w:hAnsi="宋体"/>
        </w:rPr>
        <w:t>支出88,015</w:t>
      </w:r>
      <w:r>
        <w:rPr>
          <w:rFonts w:hint="eastAsia" w:ascii="仿宋_GB2312" w:hAnsi="仿宋_GB2312"/>
        </w:rPr>
        <w:t>万元</w:t>
      </w:r>
      <w:r>
        <w:rPr>
          <w:rFonts w:hint="eastAsia" w:ascii="仿宋_GB2312" w:hAnsi="宋体"/>
        </w:rPr>
        <w:t>。</w:t>
      </w:r>
    </w:p>
    <w:p>
      <w:pPr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债务情况。我市</w:t>
      </w:r>
      <w:r>
        <w:rPr>
          <w:rFonts w:hint="eastAsia" w:ascii="仿宋_GB2312" w:hAnsi="仿宋_GB2312" w:cs="仿宋_GB2312"/>
          <w:sz w:val="30"/>
          <w:szCs w:val="30"/>
        </w:rPr>
        <w:t>（含北黄海经开区）</w:t>
      </w:r>
      <w:r>
        <w:rPr>
          <w:rFonts w:hint="eastAsia" w:ascii="仿宋_GB2312" w:hAnsi="仿宋_GB2312" w:cs="仿宋_GB2312"/>
        </w:rPr>
        <w:t>由上级政府代发再融资债券13.15亿元，及时置换了到期债务；政府债务余额265.89亿元，控制在上级政府下达的债务限额以内。</w:t>
      </w:r>
    </w:p>
    <w:p>
      <w:pPr>
        <w:spacing w:line="600" w:lineRule="exact"/>
        <w:ind w:firstLine="623" w:firstLineChars="197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二、2023年财政主要工作</w:t>
      </w:r>
    </w:p>
    <w:p>
      <w:pPr>
        <w:spacing w:line="600" w:lineRule="exact"/>
        <w:ind w:firstLine="632" w:firstLineChars="200"/>
        <w:rPr>
          <w:rFonts w:ascii="仿宋_GB2312"/>
        </w:rPr>
      </w:pPr>
      <w:r>
        <w:rPr>
          <w:rFonts w:hint="eastAsia" w:ascii="仿宋_GB2312"/>
        </w:rPr>
        <w:t>2023年，我市认真落实市人大预算决议要求，攻坚克难，创新突破，不断完善制度机制，强化政策落实和预算约束，全力以赴抓收入、优支出、兜底线、保重点，有力促进全市经济社会持续健康发展。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32" w:firstLineChars="200"/>
        <w:rPr>
          <w:rFonts w:ascii="楷体" w:hAnsi="楷体" w:eastAsia="楷体" w:cs="楷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（一）多维度抓收入，做好生财聚财之道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20" w:firstLineChars="196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</w:rPr>
        <w:t>一是多措并举组织收入。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围绕年初目标任务，积极应对经济下行、房地产业低迷等不利影响，坚持依法依规组织收入，扎实做好收入动态监控，不断强化收入征管，较好的完成了收入目标任务，全年财政收入预计完成62.1亿元，同比增长1%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二是多管齐下挖潜非税。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主动对接非税执收部门，加大非税收入征缴力度，确保实现应收尽收。全年预计非税收入完成36.45亿元。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三是多策并用向上争资。把握政策资金扶持方向，有针对性的向上争取项目资金。全年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向上争取资金51亿元（含专项债券6.57亿元、再融资债券11.25亿元），为全市经济和社会事业发展提供有力保障。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四是多方并管盘活存量。结合“三资”盘活专项行动，全面摸清底数，积极探索“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政府主导、部门牵头、分类盘活、联合监管”的模式，按照“成熟一个、盘活一个”的原则，通过处置变现、出租运营、有效利用、资本运作等方式，多渠道盘活存量资产。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20" w:firstLineChars="196"/>
        <w:jc w:val="both"/>
        <w:rPr>
          <w:rFonts w:ascii="楷体" w:hAnsi="楷体" w:eastAsia="楷体" w:cs="楷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（二）兜三保强民生，做好用财理财之道</w:t>
      </w:r>
    </w:p>
    <w:p>
      <w:pPr>
        <w:pStyle w:val="2"/>
        <w:ind w:left="0" w:leftChars="0" w:firstLine="632" w:firstLineChars="200"/>
        <w:rPr>
          <w:rFonts w:ascii="仿宋_GB2312" w:hAnsi="微软雅黑"/>
          <w:color w:val="333333"/>
        </w:rPr>
      </w:pPr>
      <w:r>
        <w:rPr>
          <w:rFonts w:hint="eastAsia" w:ascii="仿宋_GB2312" w:hAnsi="微软雅黑"/>
          <w:color w:val="333333"/>
        </w:rPr>
        <w:t>紧扣“三保”需求， 2023年全市民生支出预计56.1亿元，占一般公共预算支出的70%，实现保基本民生、保工资、保运转。</w:t>
      </w:r>
      <w:r>
        <w:rPr>
          <w:rFonts w:hint="eastAsia" w:ascii="仿宋_GB2312"/>
        </w:rPr>
        <w:t>一是支持教育高质量发展。预</w:t>
      </w:r>
      <w:r>
        <w:rPr>
          <w:rFonts w:hint="eastAsia" w:ascii="仿宋_GB2312" w:hAnsi="微软雅黑"/>
          <w:color w:val="333333"/>
        </w:rPr>
        <w:t>计全年教育经费支出7.9亿元，主要用于完善教育经费保障机制，逐步提高教师生活待遇和教育基础设施建设。</w:t>
      </w:r>
      <w:r>
        <w:rPr>
          <w:rFonts w:hint="eastAsia" w:ascii="仿宋_GB2312"/>
        </w:rPr>
        <w:t>二是加大公共卫生健康投入。预计全年卫生健康支出3.41亿元，主要用于落实公</w:t>
      </w:r>
      <w:r>
        <w:rPr>
          <w:rFonts w:hint="eastAsia" w:ascii="仿宋_GB2312" w:hAnsi="微软雅黑"/>
          <w:color w:val="333333"/>
        </w:rPr>
        <w:t>立医院改革补助，改善基层医疗卫生条件，提升公共卫生服务效能，</w:t>
      </w:r>
      <w:r>
        <w:rPr>
          <w:rFonts w:hint="eastAsia" w:ascii="仿宋_GB2312"/>
        </w:rPr>
        <w:t>基本公共卫生服务经费人均补助标准提高至89元</w:t>
      </w:r>
      <w:r>
        <w:rPr>
          <w:rFonts w:hint="eastAsia" w:ascii="仿宋_GB2312" w:hAnsi="微软雅黑"/>
          <w:color w:val="333333"/>
        </w:rPr>
        <w:t>。</w:t>
      </w:r>
      <w:r>
        <w:rPr>
          <w:rFonts w:hint="eastAsia" w:ascii="仿宋_GB2312"/>
        </w:rPr>
        <w:t>三是扎实做好社会保障工作。预计全年社会保障支出14.2亿元，主要用于发放机关事业单位养老保险及落实各类困难群众救助政策，最低生活保障标准提高至每月925元，特困人员保障标准提高至每月1,850元。四是聚力推动乡村振兴。全年预计农林水支出12.49亿元，主要用于衔接推进乡村振兴产</w:t>
      </w:r>
      <w:r>
        <w:rPr>
          <w:rFonts w:ascii="仿宋_GB2312" w:hAnsi="微软雅黑"/>
          <w:color w:val="333333"/>
        </w:rPr>
        <w:t>业发展、农村人居环境整治、高标准农田建设、耕地地力保护补贴等支出，全力推动涉农产业发展，促进农民增收。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32" w:firstLineChars="200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（三）深化改革创新，做好财政管财之道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20" w:firstLineChars="196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</w:rPr>
        <w:t>一是深化预算管理改革。推进零基预算改革，破解预算固化格局，增强财政统筹保障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能力，提升预算管理的科学性、准确性和有效性；扎实推进预算一体化改革，夯实数据基础，统筹协调，稳步推进系统化、智能化、信息化。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二是严格预算执行约束。</w:t>
      </w:r>
      <w:r>
        <w:rPr>
          <w:rFonts w:ascii="仿宋_GB2312" w:hAnsi="微软雅黑" w:eastAsia="仿宋_GB2312"/>
          <w:color w:val="333333"/>
          <w:sz w:val="32"/>
          <w:szCs w:val="32"/>
        </w:rPr>
        <w:t>坚持先预算后支出、无预算不支出，严禁无预算超预算支出。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牢固树立过紧日子思想，</w:t>
      </w:r>
      <w:r>
        <w:rPr>
          <w:rFonts w:ascii="仿宋_GB2312" w:hAnsi="微软雅黑" w:eastAsia="仿宋_GB2312"/>
          <w:color w:val="333333"/>
          <w:sz w:val="32"/>
          <w:szCs w:val="32"/>
        </w:rPr>
        <w:t>大力压减一般性支出。严把预算支出关口，坚决压减低效无效支出。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三是强化政府采购管理。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以增强政府采购意识、规范采购行为、落实采购主体责任为抓手，强化政府采购监管，1-11月政府采购预算金额1.46亿元，实际采购金额1.14亿元，节约资金0.32亿元，节约率21.9％。</w:t>
      </w:r>
      <w:r>
        <w:rPr>
          <w:rFonts w:hint="eastAsia" w:ascii="仿宋_GB2312" w:hAnsi="Calibri" w:eastAsia="仿宋_GB2312" w:cs="Calibri"/>
          <w:kern w:val="2"/>
          <w:sz w:val="32"/>
          <w:szCs w:val="32"/>
        </w:rPr>
        <w:t>三是加强债务风险管控。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严格债务资金全流程管理，有效管好用好债券额度指标。2023年到期债务本息已按期足额偿还，政府信用程度较好。四是持续推动国企改革。整合国有资源资产，</w:t>
      </w:r>
      <w:r>
        <w:rPr>
          <w:rFonts w:ascii="仿宋_GB2312" w:hAnsi="微软雅黑" w:eastAsia="仿宋_GB2312"/>
          <w:color w:val="333333"/>
          <w:sz w:val="32"/>
          <w:szCs w:val="32"/>
        </w:rPr>
        <w:t>对功能相近、业务重合的企业进行优化重组，组建大连北黄海实业发展集团，科学合理配置资源，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推动国有资本做强、做优，防止国有资产流失。</w:t>
      </w:r>
    </w:p>
    <w:p>
      <w:pPr>
        <w:pStyle w:val="6"/>
        <w:shd w:val="clear" w:color="auto" w:fill="FFFFFF"/>
        <w:spacing w:before="0" w:beforeAutospacing="0" w:after="0" w:afterAutospacing="0" w:line="580" w:lineRule="atLeast"/>
        <w:ind w:firstLine="632" w:firstLineChars="200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各位代表，虽然一年来的工作取得了一定成绩，但我市财政经济运行仍然存在着一些困难和问题：一是债务偿还压力大。2023年到期需偿还的债券本息额度居高不下，偿还压力巨大</w:t>
      </w:r>
      <w:r>
        <w:rPr>
          <w:rFonts w:hint="eastAsia" w:ascii="仿宋_GB2312" w:hAnsi="微软雅黑" w:eastAsia="仿宋_GB2312"/>
          <w:color w:val="333333"/>
          <w:spacing w:val="-6"/>
          <w:sz w:val="32"/>
          <w:szCs w:val="32"/>
        </w:rPr>
        <w:t>。二是可用财力紧张，收支平衡难度越来越大。刚性支出不断增加，房地产市场冷淡，土地招拍挂难度加大，新增可用财力有限，财政收支总体上仍处于紧平衡的状态。三是财政管理能力仍需提升。预算执行刚性约束不强、财政支出结构不尽合理，资金使用效益及资源配置效率不高等问题仍然存在。对此，我们将高度重视，认真研究，切实采取针对性的有效措施，努力加以解决。</w:t>
      </w:r>
    </w:p>
    <w:p>
      <w:pPr>
        <w:spacing w:line="600" w:lineRule="exact"/>
        <w:ind w:firstLine="623" w:firstLineChars="197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三、2024年预算草案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我市2024年预算编制的指导思想是：坚持以习近平新时代中国特色社会主义思想为指导，全面深入贯彻党的二十大精神，坚决落实中央经济工作会议精神及省委省政府、大连市委市政府相关决策部署，强化零基预算，坚持党政机关“过紧日子”，将艰苦奋斗、勤俭节约作为预算支出安排的基本方针。强化预算资源统筹，集中财力办大事。深化预算绩效管理，全面应用预算管理一体化系统，扎实推进财政各项改革，优化支出结构，提高资金使用效益，保障我市经济社会持续健康发展。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遵循上述指导思想，按照兜牢兜实“三保”底线和防范化解债务风险的工作要求，我市2024年预算编制的基本原则是：一是收入稳妥可持续。收入预算安排坚持实事求是、科学预测，与落实积极财政政策相衔接，合理确定收入增幅，依法依规加强收入征管，加大资源资产盘活力度，积极组织财政收入。二是压减支出保必须。坚持党政机关过紧日子，三公经费只减不增，一般性支出压减比例不低于20%，严格落实新建政府投资项目提级审核要求，坚决取消不必要的支出，优先保障“三保”和偿债资金需求。三是控制规模防风险。依法合规举债融资，合理控制债务规模，坚决遏制隐性债务增量，妥善化解隐性债务存量，牢牢守住不发生区域性债务风险的底线。四是强化统筹讲绩效。切实清理盘活存量资金，统筹用好各类资金。坚持“花钱必问效、无效必问责”，加强预算绩效评价结果应用，坚决削减低效、无效支出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楷体_GB2312" w:hAnsi="仿宋_GB2312" w:eastAsia="楷体_GB2312" w:cs="仿宋_GB2312"/>
          <w:bCs/>
        </w:rPr>
      </w:pPr>
      <w:r>
        <w:rPr>
          <w:rFonts w:hint="eastAsia" w:ascii="楷体_GB2312" w:hAnsi="仿宋_GB2312" w:eastAsia="楷体_GB2312" w:cs="仿宋_GB2312"/>
          <w:bCs/>
        </w:rPr>
        <w:t>（一）一般公共预算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bCs/>
        </w:rPr>
        <w:t>1、</w:t>
      </w:r>
      <w:r>
        <w:rPr>
          <w:rFonts w:hint="eastAsia" w:ascii="仿宋" w:hAnsi="仿宋" w:eastAsia="仿宋" w:cs="仿宋"/>
          <w:b/>
        </w:rPr>
        <w:t>全市一般公共预算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全市一般公共预算收入658,000万元，增长6%（收入预算的增减均指比上年预计）。其中：税收收入259,380万元，增长1.1%；非税收入398,620万元，增长9.4%。当年这一收入，加上上级转移支付收入171,481万元、动用预算稳定调节基金648万元、调入国有资本经营预算360万元、调入其他资金3,555万元，全市收入总量为834,044万元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支出769,154万元，增长10.7%（支出预算的增减均指比上年预算），加上地方政府一般债务还本支出4,890万元、上解上级支出60,000万元，全市支出总量为834,044万元。收支相抵，预算平衡。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2、市本级一般公共预算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收入444,258万元,增长15.2%，其中：税收收入50,700万元，增长1.3%；非税收入393,558万元，增长17.3%。当年这一收入，加上上级转移支付收入171,481万元、下级上解收入22,148万元，调入国有资本经营预算360万元，市本级收入总量为638,247万元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支出558,787万元，增长9.4%，当年这一支出，加上地方政府一般债务还本支出4,890万元、上解上级支出60,000万元、补助下级支出14,570万元，市本级支出总量为638,247万元。收支相抵，预算平衡。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市本级一般公共预算支出具体安排：（1）工资性支出155,169万元。（2）基本运转支出8,997万元。（3）基本民生支出51,591万元，按照上级保障标准和本级承担比例，对义务教育、就业服务、医疗保障、生活救助等基本公共服务事项，作了足额安排。（4）完成特别行政任务支出24,245万元，主要是为安全生产、食品药品监管等专项任务，为支持教育、农林水、自然资源、文化传媒等事业发展提供基本</w:t>
      </w:r>
      <w:r>
        <w:rPr>
          <w:rFonts w:hint="eastAsia" w:ascii="仿宋_GB2312" w:hAnsi="仿宋_GB2312" w:cs="仿宋_GB2312"/>
          <w:highlight w:val="none"/>
        </w:rPr>
        <w:t>保障。（5）基本建设支出8,000万元，主要用于支付工程款。（6）PPP项目和特许经营项目运营补贴支出64,689万元,主要用于海绵城市、智慧城市等PPP项目和新增特许经营项目的运营补贴支出。</w:t>
      </w:r>
      <w:r>
        <w:rPr>
          <w:rFonts w:hint="eastAsia" w:ascii="仿宋_GB2312" w:hAnsi="仿宋_GB2312" w:cs="仿宋_GB231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highlight w:val="none"/>
        </w:rPr>
        <w:t>（7）必需的项目支出11,048万元，主要</w:t>
      </w:r>
      <w:r>
        <w:rPr>
          <w:rFonts w:hint="eastAsia" w:ascii="仿宋_GB2312" w:hAnsi="仿宋_GB2312" w:cs="仿宋_GB2312"/>
        </w:rPr>
        <w:t>用于党组织服务群众、村级党建等重点项目。（8）债务本息及发行费支出131,090万元。（9）预备费安排9,000万元，占一般公共预算支出的1.6%。（10）养老保险逆差支出74,895万元。（11）预留支出20,063万元，主要是增人增支结算、十三月</w:t>
      </w:r>
      <w:r>
        <w:rPr>
          <w:rFonts w:hint="eastAsia" w:ascii="仿宋_GB2312" w:hAnsi="仿宋_GB2312" w:cs="仿宋_GB2312"/>
          <w:lang w:eastAsia="zh-CN"/>
        </w:rPr>
        <w:t>工资</w:t>
      </w:r>
      <w:r>
        <w:rPr>
          <w:rFonts w:hint="eastAsia" w:ascii="仿宋_GB2312" w:hAnsi="仿宋_GB2312" w:cs="仿宋_GB2312"/>
        </w:rPr>
        <w:t>等现在还难以确定的支出。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市对下级转移支付安排14,570万元，其中：农村税费改革转移支付8,527万元，水源地乡镇补助4,520万元，社区工作者薪酬1,323万元，其他补助200万元。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3、北黄海经开区和各街道的一般公共预算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（1）北黄海经开区收入52,000万元；支出39,537万元，加上上解上级支出12,463万元，支出总量为52,000万元。收支相抵，预算平衡。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2）城关街道收入4,752万元，加上上级补助收入255万元、调入资金2,726万元、动用预算稳定调节基金293万元，收入总量为8,026万元；支出5,784万元，加上上解上级支出2,242万元，支出总量为8,026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（3）兴达街道收入3,671万元，加上上级补助收入505万元,收入总量为4,176万元；支出3,580万元，加上上解上级支出596万元，支出总量为4,176万元。收支相抵，预算平衡。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（4）新华街道收入3,340万元，加上上级补助收入524万元，收入总量为3,864万元；支出3,340万元，加上上解上级支出524万元，支出总量为3,864万元。收支相抵，预算平衡。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5）昌盛街道收入2,300万元，加上上级补助收入393万元、调入资金829万元、动用预算稳定调节基金115万元，收入总量为3,637万元；支出2,868万元，加上上解上级支出769万元，支出总量为3,637万元。收支相抵，预算平衡。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（6）明阳街道收入4,569万元，加上上级补助收入751万元，收入总量为5,320万元；支出4,906万元，加上上解上级支出414万元，支出总量为5,320万元。收支相抵，预算平衡。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楷体_GB2312" w:hAnsi="仿宋_GB2312" w:eastAsia="楷体_GB2312" w:cs="仿宋_GB2312"/>
          <w:bCs/>
        </w:rPr>
      </w:pPr>
      <w:r>
        <w:rPr>
          <w:rFonts w:hint="eastAsia" w:ascii="楷体_GB2312" w:hAnsi="仿宋_GB2312" w:eastAsia="楷体_GB2312" w:cs="仿宋_GB2312"/>
          <w:bCs/>
        </w:rPr>
        <w:t>（二）政府性基金预算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1、全市政府性基金预算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全市政府性基金预算（乡镇和街道无政府性基金预算），收入总量84,405万元，主要包括土地出让金76,019 万元、城市基础设施配套费6,000万元、污水处理费收入1,400万元、专项债务对应项目专项收入986万元；支出79,857万元，主要包括土地出让金支出45,476 万元、城市基础设施配套费支出6,000万元、污水处理费支出1,400万元、地方政府专项债券付息及发行费用26,981万元,加上地方政府专项债务还本支出4,548万元,支出总量84,405万元。收支相抵，预算平衡。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2、市本级政府性基金预算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收入总量83,419万元，主要包括土地出让金76,019 万元、城市基础设施配套费6,000万元、污水处理费收入1,400万元；支出78,871万元，主要包括土地出让金支出45,476万元、城市基础设施配套费支出6,000万元、污水处理费支出1,400万元、地方政府专项债券付息及发行费用25,995万元,加上地方政府专项债务还本支出4,548万元,支出总量83,419万元。收支相抵，预算平衡。</w:t>
      </w:r>
    </w:p>
    <w:p>
      <w:pPr>
        <w:adjustRightInd w:val="0"/>
        <w:snapToGrid w:val="0"/>
        <w:spacing w:line="600" w:lineRule="exact"/>
        <w:ind w:firstLine="623" w:firstLineChars="197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3、北黄海经开区政府性基金预算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楷体_GB2312" w:cs="楷体_GB2312"/>
          <w:b/>
          <w:bCs/>
        </w:rPr>
      </w:pPr>
      <w:r>
        <w:rPr>
          <w:rFonts w:hint="eastAsia" w:ascii="仿宋_GB2312" w:hAnsi="仿宋_GB2312" w:cs="仿宋_GB2312"/>
        </w:rPr>
        <w:t>收入986万元，包括专项债务对应项目专项收入986万元 ，来源于专项债券使用单位上缴的项目收益，专门用于偿还专项债券本息；支出986万元，主要包括地方政府专项债券付息支出986万元。收支相抵，预算平衡。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楷体_GB2312" w:hAnsi="仿宋_GB2312" w:eastAsia="楷体_GB2312" w:cs="仿宋_GB2312"/>
          <w:bCs/>
        </w:rPr>
      </w:pPr>
      <w:r>
        <w:rPr>
          <w:rFonts w:hint="eastAsia" w:ascii="楷体_GB2312" w:hAnsi="仿宋_GB2312" w:eastAsia="楷体_GB2312" w:cs="仿宋_GB2312"/>
          <w:bCs/>
        </w:rPr>
        <w:t>（三）国有资本经营预算</w:t>
      </w:r>
    </w:p>
    <w:p>
      <w:pPr>
        <w:adjustRightInd w:val="0"/>
        <w:snapToGrid w:val="0"/>
        <w:spacing w:line="600" w:lineRule="exact"/>
        <w:ind w:firstLine="620" w:firstLineChars="196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按照“以收定支，不列赤字”原则编制（均为市本级），收入360万元，其中：北黄海实业发展集团277万元、黄海港务公司77万元、农粮集团5万元、企业信用融资担保公司1万元，不安排支出，全部调入一般公共预算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楷体_GB2312" w:hAnsi="仿宋_GB2312" w:eastAsia="楷体_GB2312" w:cs="仿宋_GB2312"/>
          <w:bCs/>
        </w:rPr>
      </w:pPr>
      <w:r>
        <w:rPr>
          <w:rFonts w:hint="eastAsia" w:ascii="楷体_GB2312" w:hAnsi="仿宋_GB2312" w:eastAsia="楷体_GB2312" w:cs="仿宋_GB2312"/>
          <w:bCs/>
        </w:rPr>
        <w:t>（四）社会保险基金预算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/>
          <w:b/>
          <w:bCs/>
        </w:rPr>
      </w:pPr>
      <w:r>
        <w:rPr>
          <w:rFonts w:hint="eastAsia" w:ascii="仿宋_GB2312" w:hAnsi="仿宋_GB2312" w:cs="仿宋_GB2312"/>
        </w:rPr>
        <w:t>按照我市统筹层次与保障要求编制（均为市本级），我市负责统筹的是机关事业单位养老保险基金，收入105,315万元，其中：养老保险缴费收入29,190 万元、财政补助收入74,895万元（即收支逆差）、其他收入1,230万元；支出105,315万元。收支相抵，预算平衡。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三、2024年财政重点工作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2024年，全市各级财政部门将认真贯彻落实中央、省、市各项决策部署，加强财政资源统筹，兜牢“三保”底线，防范化解政府债务风险，深化财政体制改革，努力实现全年各项任务目标。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600" w:lineRule="exact"/>
        <w:ind w:firstLine="632" w:firstLineChars="200"/>
        <w:jc w:val="both"/>
        <w:rPr>
          <w:rFonts w:ascii="楷体_GB2312" w:hAnsi="仿宋_GB2312" w:eastAsia="楷体_GB2312" w:cs="仿宋_GB2312"/>
          <w:bCs/>
          <w:kern w:val="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</w:rPr>
        <w:t>（一）着力强化预算收支管理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highlight w:val="none"/>
        </w:rPr>
        <w:t>一是加强财税征管，稳步增加财政收入。认真分析收入形势，科学研判，提高收入征管工作的前瞻性、主动性和有效性，强化目标调度，紧盯清洁能源、建筑业、制造业等重点税源行业，加大税费征缴力度，确保应收尽收。二是盘活资产资源，充分挖掘非税潜力。积极开展国有资产清查工作，加快推进国有资产的出租出售工作，使“资产”变“资本”，重点做好城乡供水一体化、永记水库、林下经济等特许经营项目，加快实现闲置房产和未确权海域拍卖处置收入，千方百计增加财政收入。三是积极向上争资，有效缓解财政压力。积极争取新增债券资金，保障重点项目的资金需求。发挥政策资金导向功能，做好项目的有序申报，谋划一批优质项目，</w:t>
      </w:r>
      <w:r>
        <w:rPr>
          <w:rFonts w:hint="eastAsia" w:ascii="仿宋_GB2312" w:hAnsi="仿宋_GB2312" w:cs="仿宋_GB2312"/>
        </w:rPr>
        <w:t>加大向上争取政策和资金补助力度，全力缓解财政平衡压力。四是盘活存量资金，加快项目支出进度。进一步加大财政资金整合力度，盘活结转结余资金，清理各领域“沉睡”资金，提高财政资金使用效益。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600" w:lineRule="exact"/>
        <w:ind w:left="-984" w:firstLine="1580" w:firstLineChars="500"/>
        <w:jc w:val="both"/>
        <w:rPr>
          <w:rFonts w:ascii="楷体_GB2312" w:hAnsi="仿宋_GB2312" w:eastAsia="楷体_GB2312" w:cs="仿宋_GB2312"/>
          <w:bCs/>
          <w:kern w:val="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</w:rPr>
        <w:t>（二）着力扛牢扛实“三保”责任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一是突出“三保”预算安排。主动适应新常态，从严从紧、科学合理编制财政预算，始终把“三保”作为财政支出第一责任，坚持“三保”支出在财政支出中的优先顺序，确保将有限的财政资金花在刀刃上。二是优化“三保”支出结构。牢固树立政府“过紧日子”思想，持续压减“三公”经费和一般性支出，通过强化预算审核机制、设立工资专户、保持库款合理水平等举措，切实做好“三保”工作。三是健全“三保”管理机制。建立健全“三保”动态监控机制，加强对“三保”的风险分析、预测、管控及处置工作。定期对“三保”预算执行情况以及可能存在的风险点进行研判分析，对苗头性问题早发现、早介入、早处置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600" w:lineRule="exact"/>
        <w:ind w:left="-984" w:firstLine="1264" w:firstLineChars="400"/>
        <w:jc w:val="both"/>
        <w:rPr>
          <w:rFonts w:ascii="楷体_GB2312" w:hAnsi="仿宋_GB2312" w:eastAsia="楷体_GB2312" w:cs="仿宋_GB2312"/>
          <w:bCs/>
          <w:kern w:val="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</w:rPr>
        <w:t xml:space="preserve">  （三）着力防范化解政府债务风险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一是压实风险管控责任。认真贯彻落实中央、省、市关于防范化解债务风险的决策部署及工作要求，切实增强风险意识，牢固树立底线思维，提升工作责任与使命感，以强有力的举措维护全市债务总体安全，牢牢守住不发生系统性风险的底线。二是积极化解存量债务。坚持“谁举债、谁负责”的原则，进一步明确还本付息主体责任，统筹各类资金资源，按时足额还本付息。三是合理控制债务规模。严格在限额内举债，确保债务规模与经济发展、财政收支、还债能力与可用财力相适应。四是严禁新增隐性债务。坚决遏制隐性债务增量，严禁各种违法违规担保，决不允许新增隐性债务上新项目、铺新摊子，筑牢风险“防火墙”。五是严格专项债券管理。积极争取专项债券支持，加强项目监管，合法合规加快专项债券资金使用进度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600" w:lineRule="exact"/>
        <w:ind w:firstLine="632" w:firstLineChars="200"/>
        <w:jc w:val="both"/>
        <w:rPr>
          <w:rFonts w:ascii="楷体_GB2312" w:hAnsi="仿宋_GB2312" w:eastAsia="楷体_GB2312" w:cs="仿宋_GB2312"/>
          <w:bCs/>
          <w:kern w:val="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</w:rPr>
        <w:t>（四）着力深化财政管理改革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一是推进财政体制改革。进一步理顺市乡两级财政分配关系，合理划分财政事权和支出责任，建立科学合理的激励约束机制，逐步形成权责清晰、财力协调的财政体制。二是强化预算约束管理。严格执行人大审查批准的预算，依法依规调整预算，加快推进预算管理一体化应用，加强财政承受能力评估，增强预算管理调控能力。三是持续推进财会监督。充分发挥财政职能，强化财经纪律约束，坚决查处有令不行、有禁不止、弄虚作假等违法违规行为，堵塞执行漏洞，以查促改，切实保障积极的财政政策加力提效、注重精准、更可持续。四是全力推动国企发展。牢固树立市场观念，推进市场化转型改革，逐步形成政府和企业界限清晰、责任明确、风险可控的良性机制，增强企业自身造血能力，进一步做优、做强、做大国有企业。</w:t>
      </w:r>
    </w:p>
    <w:p>
      <w:pPr>
        <w:adjustRightInd w:val="0"/>
        <w:snapToGrid w:val="0"/>
        <w:spacing w:line="6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各位代表！新的一年我们将在市委、市政府的坚强领导下，主动接受市人大的监督，认真听取市政协的意见，坚持底线思维，把握新发展理念，攻坚克难，以更加务实的作风、更加有为的担当，扎实推进财政各项工作，为高标准打造区域引领性的绿色经济发展示范区、高质量建成北黄海生态型现代化海滨城市贡献力量！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1361" w:gutter="0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287"/>
    <w:rsid w:val="000016FB"/>
    <w:rsid w:val="00001754"/>
    <w:rsid w:val="00003D90"/>
    <w:rsid w:val="00004CC2"/>
    <w:rsid w:val="000051FB"/>
    <w:rsid w:val="00005637"/>
    <w:rsid w:val="00005A66"/>
    <w:rsid w:val="0000784B"/>
    <w:rsid w:val="00012428"/>
    <w:rsid w:val="00013D14"/>
    <w:rsid w:val="000172F3"/>
    <w:rsid w:val="000236F4"/>
    <w:rsid w:val="00031268"/>
    <w:rsid w:val="00034A95"/>
    <w:rsid w:val="000405F3"/>
    <w:rsid w:val="00040E6D"/>
    <w:rsid w:val="000430D9"/>
    <w:rsid w:val="00045C19"/>
    <w:rsid w:val="000462E7"/>
    <w:rsid w:val="000465F0"/>
    <w:rsid w:val="00055A43"/>
    <w:rsid w:val="00063FD9"/>
    <w:rsid w:val="00067656"/>
    <w:rsid w:val="0007082E"/>
    <w:rsid w:val="00073D6A"/>
    <w:rsid w:val="000762B3"/>
    <w:rsid w:val="00080A5F"/>
    <w:rsid w:val="000819FE"/>
    <w:rsid w:val="00084CF6"/>
    <w:rsid w:val="000878D7"/>
    <w:rsid w:val="000926CD"/>
    <w:rsid w:val="00093B76"/>
    <w:rsid w:val="000946FD"/>
    <w:rsid w:val="00095A7D"/>
    <w:rsid w:val="000A1287"/>
    <w:rsid w:val="000A1A3D"/>
    <w:rsid w:val="000A4373"/>
    <w:rsid w:val="000A4F70"/>
    <w:rsid w:val="000A5665"/>
    <w:rsid w:val="000A66D5"/>
    <w:rsid w:val="000B574C"/>
    <w:rsid w:val="000B5C92"/>
    <w:rsid w:val="000C0F03"/>
    <w:rsid w:val="000C3006"/>
    <w:rsid w:val="000C77AC"/>
    <w:rsid w:val="000D0A50"/>
    <w:rsid w:val="000D7EA1"/>
    <w:rsid w:val="000E20AD"/>
    <w:rsid w:val="000E43BC"/>
    <w:rsid w:val="000E6B66"/>
    <w:rsid w:val="000F0146"/>
    <w:rsid w:val="000F146C"/>
    <w:rsid w:val="000F176C"/>
    <w:rsid w:val="000F35EF"/>
    <w:rsid w:val="000F58F6"/>
    <w:rsid w:val="00100857"/>
    <w:rsid w:val="00100FDC"/>
    <w:rsid w:val="00101C26"/>
    <w:rsid w:val="00105715"/>
    <w:rsid w:val="001112AA"/>
    <w:rsid w:val="00111598"/>
    <w:rsid w:val="00120124"/>
    <w:rsid w:val="00120BB8"/>
    <w:rsid w:val="00124B7C"/>
    <w:rsid w:val="00125A48"/>
    <w:rsid w:val="00130F22"/>
    <w:rsid w:val="001320D8"/>
    <w:rsid w:val="0013283E"/>
    <w:rsid w:val="00137DA9"/>
    <w:rsid w:val="00142422"/>
    <w:rsid w:val="001527DA"/>
    <w:rsid w:val="00155B1A"/>
    <w:rsid w:val="00155B3D"/>
    <w:rsid w:val="00157792"/>
    <w:rsid w:val="0016363E"/>
    <w:rsid w:val="00164E98"/>
    <w:rsid w:val="00166BC6"/>
    <w:rsid w:val="0017163C"/>
    <w:rsid w:val="0017248A"/>
    <w:rsid w:val="00186351"/>
    <w:rsid w:val="00187F40"/>
    <w:rsid w:val="00190E51"/>
    <w:rsid w:val="00192C88"/>
    <w:rsid w:val="00193144"/>
    <w:rsid w:val="001974C0"/>
    <w:rsid w:val="001A2ED5"/>
    <w:rsid w:val="001A4EA6"/>
    <w:rsid w:val="001B1297"/>
    <w:rsid w:val="001B394F"/>
    <w:rsid w:val="001C1E63"/>
    <w:rsid w:val="001C2561"/>
    <w:rsid w:val="001C3989"/>
    <w:rsid w:val="001C64B2"/>
    <w:rsid w:val="001C67D2"/>
    <w:rsid w:val="001C702B"/>
    <w:rsid w:val="001D0DD5"/>
    <w:rsid w:val="001D2270"/>
    <w:rsid w:val="001D2EEB"/>
    <w:rsid w:val="001E066A"/>
    <w:rsid w:val="001E57AE"/>
    <w:rsid w:val="001E7F06"/>
    <w:rsid w:val="001F440C"/>
    <w:rsid w:val="00204332"/>
    <w:rsid w:val="00206B43"/>
    <w:rsid w:val="00210054"/>
    <w:rsid w:val="00211F86"/>
    <w:rsid w:val="00213542"/>
    <w:rsid w:val="0021669E"/>
    <w:rsid w:val="002174F9"/>
    <w:rsid w:val="00234F5D"/>
    <w:rsid w:val="00234FFE"/>
    <w:rsid w:val="0023726B"/>
    <w:rsid w:val="00241EF6"/>
    <w:rsid w:val="00242712"/>
    <w:rsid w:val="0025062D"/>
    <w:rsid w:val="00250FD8"/>
    <w:rsid w:val="0025120E"/>
    <w:rsid w:val="00254829"/>
    <w:rsid w:val="0025560D"/>
    <w:rsid w:val="00256618"/>
    <w:rsid w:val="00257ABC"/>
    <w:rsid w:val="00261933"/>
    <w:rsid w:val="00262D55"/>
    <w:rsid w:val="00270815"/>
    <w:rsid w:val="00277CBE"/>
    <w:rsid w:val="00277ED1"/>
    <w:rsid w:val="00283656"/>
    <w:rsid w:val="00290789"/>
    <w:rsid w:val="002918CF"/>
    <w:rsid w:val="002932DE"/>
    <w:rsid w:val="002942AC"/>
    <w:rsid w:val="00294458"/>
    <w:rsid w:val="00294B57"/>
    <w:rsid w:val="0029713C"/>
    <w:rsid w:val="002A0F11"/>
    <w:rsid w:val="002A0FDA"/>
    <w:rsid w:val="002A2BD0"/>
    <w:rsid w:val="002A2EF9"/>
    <w:rsid w:val="002A3DCC"/>
    <w:rsid w:val="002A5295"/>
    <w:rsid w:val="002A5BBF"/>
    <w:rsid w:val="002A6F97"/>
    <w:rsid w:val="002B06CF"/>
    <w:rsid w:val="002B64C6"/>
    <w:rsid w:val="002C01E9"/>
    <w:rsid w:val="002D1FF8"/>
    <w:rsid w:val="002D22F6"/>
    <w:rsid w:val="002D40B0"/>
    <w:rsid w:val="002D5319"/>
    <w:rsid w:val="002E5750"/>
    <w:rsid w:val="002E59E1"/>
    <w:rsid w:val="002F12BE"/>
    <w:rsid w:val="002F2A6D"/>
    <w:rsid w:val="00300436"/>
    <w:rsid w:val="0030109D"/>
    <w:rsid w:val="003069FF"/>
    <w:rsid w:val="00307094"/>
    <w:rsid w:val="00307539"/>
    <w:rsid w:val="0031052C"/>
    <w:rsid w:val="00314651"/>
    <w:rsid w:val="0031510B"/>
    <w:rsid w:val="00321286"/>
    <w:rsid w:val="00321E29"/>
    <w:rsid w:val="003220A4"/>
    <w:rsid w:val="00322360"/>
    <w:rsid w:val="00326A40"/>
    <w:rsid w:val="00327367"/>
    <w:rsid w:val="0033118E"/>
    <w:rsid w:val="00332B9E"/>
    <w:rsid w:val="00335574"/>
    <w:rsid w:val="00352883"/>
    <w:rsid w:val="00353F67"/>
    <w:rsid w:val="00362503"/>
    <w:rsid w:val="003663CC"/>
    <w:rsid w:val="003664B7"/>
    <w:rsid w:val="003706AC"/>
    <w:rsid w:val="00370B5A"/>
    <w:rsid w:val="003712B5"/>
    <w:rsid w:val="003723A3"/>
    <w:rsid w:val="003734BB"/>
    <w:rsid w:val="00373992"/>
    <w:rsid w:val="0038616E"/>
    <w:rsid w:val="003876FC"/>
    <w:rsid w:val="003879F2"/>
    <w:rsid w:val="0039184D"/>
    <w:rsid w:val="003933DA"/>
    <w:rsid w:val="00396449"/>
    <w:rsid w:val="00396EE4"/>
    <w:rsid w:val="003A1566"/>
    <w:rsid w:val="003A71DA"/>
    <w:rsid w:val="003B1B7C"/>
    <w:rsid w:val="003B2CF4"/>
    <w:rsid w:val="003C04B2"/>
    <w:rsid w:val="003C096A"/>
    <w:rsid w:val="003D15A2"/>
    <w:rsid w:val="003D35D8"/>
    <w:rsid w:val="003D434C"/>
    <w:rsid w:val="003D58D7"/>
    <w:rsid w:val="003E3ADD"/>
    <w:rsid w:val="003E4E2C"/>
    <w:rsid w:val="003F07CE"/>
    <w:rsid w:val="003F5CA4"/>
    <w:rsid w:val="00400E7E"/>
    <w:rsid w:val="00401516"/>
    <w:rsid w:val="0040183B"/>
    <w:rsid w:val="0040335B"/>
    <w:rsid w:val="00403760"/>
    <w:rsid w:val="0040577D"/>
    <w:rsid w:val="00407533"/>
    <w:rsid w:val="00407C82"/>
    <w:rsid w:val="0041075E"/>
    <w:rsid w:val="004136B6"/>
    <w:rsid w:val="00414D2C"/>
    <w:rsid w:val="00415721"/>
    <w:rsid w:val="004206A1"/>
    <w:rsid w:val="004257B1"/>
    <w:rsid w:val="004263C3"/>
    <w:rsid w:val="004318CB"/>
    <w:rsid w:val="00436918"/>
    <w:rsid w:val="0044105C"/>
    <w:rsid w:val="004419F4"/>
    <w:rsid w:val="0044415E"/>
    <w:rsid w:val="004547B8"/>
    <w:rsid w:val="00457AF1"/>
    <w:rsid w:val="00460C5F"/>
    <w:rsid w:val="00460D3C"/>
    <w:rsid w:val="004627C3"/>
    <w:rsid w:val="00466DB2"/>
    <w:rsid w:val="00467DAA"/>
    <w:rsid w:val="00467F94"/>
    <w:rsid w:val="00470DEF"/>
    <w:rsid w:val="00472BBF"/>
    <w:rsid w:val="00477914"/>
    <w:rsid w:val="00481629"/>
    <w:rsid w:val="00491AFB"/>
    <w:rsid w:val="00491F22"/>
    <w:rsid w:val="004933FA"/>
    <w:rsid w:val="00495582"/>
    <w:rsid w:val="004A091F"/>
    <w:rsid w:val="004A3E87"/>
    <w:rsid w:val="004A6C1F"/>
    <w:rsid w:val="004B17E2"/>
    <w:rsid w:val="004B559A"/>
    <w:rsid w:val="004B5F06"/>
    <w:rsid w:val="004B6D7B"/>
    <w:rsid w:val="004C0279"/>
    <w:rsid w:val="004C05D2"/>
    <w:rsid w:val="004C40AC"/>
    <w:rsid w:val="004D4792"/>
    <w:rsid w:val="004D565E"/>
    <w:rsid w:val="004E30E0"/>
    <w:rsid w:val="004E386C"/>
    <w:rsid w:val="004E77A8"/>
    <w:rsid w:val="004F0F39"/>
    <w:rsid w:val="004F480A"/>
    <w:rsid w:val="004F49AC"/>
    <w:rsid w:val="004F72F7"/>
    <w:rsid w:val="005071A1"/>
    <w:rsid w:val="00510757"/>
    <w:rsid w:val="00511F65"/>
    <w:rsid w:val="00513941"/>
    <w:rsid w:val="00513E7B"/>
    <w:rsid w:val="00514EF2"/>
    <w:rsid w:val="005250ED"/>
    <w:rsid w:val="005260BA"/>
    <w:rsid w:val="005265C1"/>
    <w:rsid w:val="00532718"/>
    <w:rsid w:val="00532989"/>
    <w:rsid w:val="00533F33"/>
    <w:rsid w:val="00535998"/>
    <w:rsid w:val="005364E6"/>
    <w:rsid w:val="00541780"/>
    <w:rsid w:val="00542D23"/>
    <w:rsid w:val="00547CE8"/>
    <w:rsid w:val="00550478"/>
    <w:rsid w:val="00550827"/>
    <w:rsid w:val="0055191A"/>
    <w:rsid w:val="00551CC7"/>
    <w:rsid w:val="00552A63"/>
    <w:rsid w:val="00553BFD"/>
    <w:rsid w:val="005568C1"/>
    <w:rsid w:val="005571E5"/>
    <w:rsid w:val="0056020B"/>
    <w:rsid w:val="00564B9A"/>
    <w:rsid w:val="00565D8D"/>
    <w:rsid w:val="00565EC3"/>
    <w:rsid w:val="0056606F"/>
    <w:rsid w:val="005660FB"/>
    <w:rsid w:val="00570D57"/>
    <w:rsid w:val="00572874"/>
    <w:rsid w:val="005744E0"/>
    <w:rsid w:val="00582A70"/>
    <w:rsid w:val="00586465"/>
    <w:rsid w:val="00591C37"/>
    <w:rsid w:val="005949F9"/>
    <w:rsid w:val="00594B54"/>
    <w:rsid w:val="00596022"/>
    <w:rsid w:val="005963AD"/>
    <w:rsid w:val="005A0277"/>
    <w:rsid w:val="005A0BAD"/>
    <w:rsid w:val="005A604E"/>
    <w:rsid w:val="005A6BE9"/>
    <w:rsid w:val="005B00CA"/>
    <w:rsid w:val="005B14F6"/>
    <w:rsid w:val="005B4C73"/>
    <w:rsid w:val="005B6925"/>
    <w:rsid w:val="005C425D"/>
    <w:rsid w:val="005D357B"/>
    <w:rsid w:val="005E0126"/>
    <w:rsid w:val="005E2BB6"/>
    <w:rsid w:val="005E3C3E"/>
    <w:rsid w:val="005E3E1A"/>
    <w:rsid w:val="005E6858"/>
    <w:rsid w:val="005E7029"/>
    <w:rsid w:val="005E73A3"/>
    <w:rsid w:val="005F1247"/>
    <w:rsid w:val="005F3069"/>
    <w:rsid w:val="005F70C0"/>
    <w:rsid w:val="006021F5"/>
    <w:rsid w:val="00607506"/>
    <w:rsid w:val="0060754B"/>
    <w:rsid w:val="00610F67"/>
    <w:rsid w:val="00611742"/>
    <w:rsid w:val="0061487B"/>
    <w:rsid w:val="00620E6E"/>
    <w:rsid w:val="00623198"/>
    <w:rsid w:val="00623D62"/>
    <w:rsid w:val="00624F95"/>
    <w:rsid w:val="006258A7"/>
    <w:rsid w:val="00626CB8"/>
    <w:rsid w:val="00632F02"/>
    <w:rsid w:val="00633F85"/>
    <w:rsid w:val="006347A6"/>
    <w:rsid w:val="00636BD4"/>
    <w:rsid w:val="00636E5C"/>
    <w:rsid w:val="00637594"/>
    <w:rsid w:val="0064305D"/>
    <w:rsid w:val="00644CF1"/>
    <w:rsid w:val="00647420"/>
    <w:rsid w:val="0065162D"/>
    <w:rsid w:val="00656067"/>
    <w:rsid w:val="006566FD"/>
    <w:rsid w:val="00661D3B"/>
    <w:rsid w:val="00663E35"/>
    <w:rsid w:val="006642A5"/>
    <w:rsid w:val="00665AA1"/>
    <w:rsid w:val="00673382"/>
    <w:rsid w:val="0067393C"/>
    <w:rsid w:val="0068240E"/>
    <w:rsid w:val="006828A3"/>
    <w:rsid w:val="006904BA"/>
    <w:rsid w:val="00691CDE"/>
    <w:rsid w:val="00693304"/>
    <w:rsid w:val="0069564B"/>
    <w:rsid w:val="00695943"/>
    <w:rsid w:val="00697541"/>
    <w:rsid w:val="006A442A"/>
    <w:rsid w:val="006C0966"/>
    <w:rsid w:val="006D3B17"/>
    <w:rsid w:val="006D3C53"/>
    <w:rsid w:val="006D4368"/>
    <w:rsid w:val="006D4D6F"/>
    <w:rsid w:val="006E1573"/>
    <w:rsid w:val="006E5000"/>
    <w:rsid w:val="006F72EF"/>
    <w:rsid w:val="007061D2"/>
    <w:rsid w:val="007111AC"/>
    <w:rsid w:val="00721F32"/>
    <w:rsid w:val="007229A2"/>
    <w:rsid w:val="0073088C"/>
    <w:rsid w:val="00731BBF"/>
    <w:rsid w:val="007321F9"/>
    <w:rsid w:val="00733455"/>
    <w:rsid w:val="00736C89"/>
    <w:rsid w:val="00737056"/>
    <w:rsid w:val="0073791D"/>
    <w:rsid w:val="00740963"/>
    <w:rsid w:val="00740D22"/>
    <w:rsid w:val="0074339F"/>
    <w:rsid w:val="00745B0C"/>
    <w:rsid w:val="007475EC"/>
    <w:rsid w:val="00751509"/>
    <w:rsid w:val="00752875"/>
    <w:rsid w:val="007558B2"/>
    <w:rsid w:val="00760AC4"/>
    <w:rsid w:val="00760CAD"/>
    <w:rsid w:val="007626C1"/>
    <w:rsid w:val="0076746A"/>
    <w:rsid w:val="00767906"/>
    <w:rsid w:val="00771257"/>
    <w:rsid w:val="0077280D"/>
    <w:rsid w:val="00773EBD"/>
    <w:rsid w:val="00775357"/>
    <w:rsid w:val="00775375"/>
    <w:rsid w:val="0077784E"/>
    <w:rsid w:val="00781454"/>
    <w:rsid w:val="007844CD"/>
    <w:rsid w:val="007855AC"/>
    <w:rsid w:val="00786AAE"/>
    <w:rsid w:val="00791D1C"/>
    <w:rsid w:val="00794A18"/>
    <w:rsid w:val="00794DB0"/>
    <w:rsid w:val="007960EA"/>
    <w:rsid w:val="00796C88"/>
    <w:rsid w:val="00796EB7"/>
    <w:rsid w:val="007975F5"/>
    <w:rsid w:val="007A3DA6"/>
    <w:rsid w:val="007A44C8"/>
    <w:rsid w:val="007B0B4A"/>
    <w:rsid w:val="007B2338"/>
    <w:rsid w:val="007C0AC8"/>
    <w:rsid w:val="007C1775"/>
    <w:rsid w:val="007C1783"/>
    <w:rsid w:val="007C42CC"/>
    <w:rsid w:val="007C5D7A"/>
    <w:rsid w:val="007C602D"/>
    <w:rsid w:val="007D03D3"/>
    <w:rsid w:val="007D1904"/>
    <w:rsid w:val="007D248D"/>
    <w:rsid w:val="007D26CC"/>
    <w:rsid w:val="007D32CB"/>
    <w:rsid w:val="007E06A1"/>
    <w:rsid w:val="007E1658"/>
    <w:rsid w:val="007E18BF"/>
    <w:rsid w:val="007E507B"/>
    <w:rsid w:val="007F130D"/>
    <w:rsid w:val="007F649B"/>
    <w:rsid w:val="007F753E"/>
    <w:rsid w:val="007F7CC0"/>
    <w:rsid w:val="008021C2"/>
    <w:rsid w:val="008039E0"/>
    <w:rsid w:val="00805C41"/>
    <w:rsid w:val="0080706C"/>
    <w:rsid w:val="0080728C"/>
    <w:rsid w:val="008113C2"/>
    <w:rsid w:val="00816E66"/>
    <w:rsid w:val="008222DA"/>
    <w:rsid w:val="00822D66"/>
    <w:rsid w:val="008237DC"/>
    <w:rsid w:val="00823B3C"/>
    <w:rsid w:val="00834384"/>
    <w:rsid w:val="008351ED"/>
    <w:rsid w:val="0083521D"/>
    <w:rsid w:val="00835A90"/>
    <w:rsid w:val="00836859"/>
    <w:rsid w:val="008417B7"/>
    <w:rsid w:val="0084206D"/>
    <w:rsid w:val="008433FC"/>
    <w:rsid w:val="00845192"/>
    <w:rsid w:val="00847833"/>
    <w:rsid w:val="00850A0C"/>
    <w:rsid w:val="00852486"/>
    <w:rsid w:val="00855896"/>
    <w:rsid w:val="0085669B"/>
    <w:rsid w:val="00856865"/>
    <w:rsid w:val="00862D07"/>
    <w:rsid w:val="00864CBC"/>
    <w:rsid w:val="0087531D"/>
    <w:rsid w:val="00877AE3"/>
    <w:rsid w:val="00882E88"/>
    <w:rsid w:val="00886CA5"/>
    <w:rsid w:val="00891048"/>
    <w:rsid w:val="00893342"/>
    <w:rsid w:val="00893ACA"/>
    <w:rsid w:val="008A0150"/>
    <w:rsid w:val="008A52A9"/>
    <w:rsid w:val="008A682C"/>
    <w:rsid w:val="008B1896"/>
    <w:rsid w:val="008B2865"/>
    <w:rsid w:val="008C035C"/>
    <w:rsid w:val="008C177B"/>
    <w:rsid w:val="008C30F7"/>
    <w:rsid w:val="008C3D50"/>
    <w:rsid w:val="008C4413"/>
    <w:rsid w:val="008D0729"/>
    <w:rsid w:val="008D346B"/>
    <w:rsid w:val="008D3780"/>
    <w:rsid w:val="008D4EA8"/>
    <w:rsid w:val="008E2B44"/>
    <w:rsid w:val="008E4BEE"/>
    <w:rsid w:val="008E5C9C"/>
    <w:rsid w:val="008F126F"/>
    <w:rsid w:val="008F5625"/>
    <w:rsid w:val="009059BC"/>
    <w:rsid w:val="00915D6B"/>
    <w:rsid w:val="009214E1"/>
    <w:rsid w:val="00925327"/>
    <w:rsid w:val="009258C8"/>
    <w:rsid w:val="0093007A"/>
    <w:rsid w:val="00935666"/>
    <w:rsid w:val="00944156"/>
    <w:rsid w:val="00945D2E"/>
    <w:rsid w:val="00945DA2"/>
    <w:rsid w:val="00946643"/>
    <w:rsid w:val="00952E51"/>
    <w:rsid w:val="0095597C"/>
    <w:rsid w:val="00956435"/>
    <w:rsid w:val="00956AE1"/>
    <w:rsid w:val="0096015F"/>
    <w:rsid w:val="009677A4"/>
    <w:rsid w:val="00970CE4"/>
    <w:rsid w:val="00970E87"/>
    <w:rsid w:val="00976647"/>
    <w:rsid w:val="009845EB"/>
    <w:rsid w:val="009846DF"/>
    <w:rsid w:val="0098517E"/>
    <w:rsid w:val="00986411"/>
    <w:rsid w:val="00986E95"/>
    <w:rsid w:val="00990B42"/>
    <w:rsid w:val="00992CCF"/>
    <w:rsid w:val="009949A4"/>
    <w:rsid w:val="00997520"/>
    <w:rsid w:val="009A1C4B"/>
    <w:rsid w:val="009A2333"/>
    <w:rsid w:val="009A3725"/>
    <w:rsid w:val="009A3BB6"/>
    <w:rsid w:val="009A4690"/>
    <w:rsid w:val="009A5E42"/>
    <w:rsid w:val="009A600D"/>
    <w:rsid w:val="009B4970"/>
    <w:rsid w:val="009B49C3"/>
    <w:rsid w:val="009B5A8E"/>
    <w:rsid w:val="009B66C8"/>
    <w:rsid w:val="009B75E6"/>
    <w:rsid w:val="009B7B42"/>
    <w:rsid w:val="009C15AB"/>
    <w:rsid w:val="009C160A"/>
    <w:rsid w:val="009C376D"/>
    <w:rsid w:val="009C4D6F"/>
    <w:rsid w:val="009C5326"/>
    <w:rsid w:val="009C536F"/>
    <w:rsid w:val="009C5943"/>
    <w:rsid w:val="009C69CC"/>
    <w:rsid w:val="009C6F50"/>
    <w:rsid w:val="009D21BE"/>
    <w:rsid w:val="009D3CE8"/>
    <w:rsid w:val="009D7F5D"/>
    <w:rsid w:val="009E06FC"/>
    <w:rsid w:val="009E2620"/>
    <w:rsid w:val="009E47A4"/>
    <w:rsid w:val="009E6A83"/>
    <w:rsid w:val="009E78C0"/>
    <w:rsid w:val="009F132F"/>
    <w:rsid w:val="009F260E"/>
    <w:rsid w:val="009F406E"/>
    <w:rsid w:val="009F416F"/>
    <w:rsid w:val="009F4EA7"/>
    <w:rsid w:val="00A00791"/>
    <w:rsid w:val="00A02BD4"/>
    <w:rsid w:val="00A03403"/>
    <w:rsid w:val="00A10EC5"/>
    <w:rsid w:val="00A132B2"/>
    <w:rsid w:val="00A14237"/>
    <w:rsid w:val="00A15653"/>
    <w:rsid w:val="00A15C56"/>
    <w:rsid w:val="00A21514"/>
    <w:rsid w:val="00A310FE"/>
    <w:rsid w:val="00A3205B"/>
    <w:rsid w:val="00A33A50"/>
    <w:rsid w:val="00A35E4B"/>
    <w:rsid w:val="00A378FC"/>
    <w:rsid w:val="00A41CC5"/>
    <w:rsid w:val="00A44676"/>
    <w:rsid w:val="00A44BE7"/>
    <w:rsid w:val="00A44D3C"/>
    <w:rsid w:val="00A47036"/>
    <w:rsid w:val="00A4754B"/>
    <w:rsid w:val="00A50076"/>
    <w:rsid w:val="00A513CD"/>
    <w:rsid w:val="00A557EA"/>
    <w:rsid w:val="00A55974"/>
    <w:rsid w:val="00A576D9"/>
    <w:rsid w:val="00A60ED7"/>
    <w:rsid w:val="00A62205"/>
    <w:rsid w:val="00A65991"/>
    <w:rsid w:val="00A71144"/>
    <w:rsid w:val="00A7119B"/>
    <w:rsid w:val="00A73368"/>
    <w:rsid w:val="00A75C13"/>
    <w:rsid w:val="00A80B49"/>
    <w:rsid w:val="00A84D37"/>
    <w:rsid w:val="00A8533C"/>
    <w:rsid w:val="00A876A5"/>
    <w:rsid w:val="00A901FA"/>
    <w:rsid w:val="00A930D6"/>
    <w:rsid w:val="00A95716"/>
    <w:rsid w:val="00A96052"/>
    <w:rsid w:val="00A96719"/>
    <w:rsid w:val="00AA4956"/>
    <w:rsid w:val="00AA67F5"/>
    <w:rsid w:val="00AA6AA5"/>
    <w:rsid w:val="00AB021D"/>
    <w:rsid w:val="00AB1504"/>
    <w:rsid w:val="00AB34A0"/>
    <w:rsid w:val="00AB4C4A"/>
    <w:rsid w:val="00AB5CBF"/>
    <w:rsid w:val="00AC1070"/>
    <w:rsid w:val="00AC77B8"/>
    <w:rsid w:val="00AD0573"/>
    <w:rsid w:val="00AD2D08"/>
    <w:rsid w:val="00AD3903"/>
    <w:rsid w:val="00AD60A8"/>
    <w:rsid w:val="00AE2CD0"/>
    <w:rsid w:val="00AE4537"/>
    <w:rsid w:val="00AF1577"/>
    <w:rsid w:val="00AF3462"/>
    <w:rsid w:val="00B003C1"/>
    <w:rsid w:val="00B00A7F"/>
    <w:rsid w:val="00B060F3"/>
    <w:rsid w:val="00B0760D"/>
    <w:rsid w:val="00B07C45"/>
    <w:rsid w:val="00B110A6"/>
    <w:rsid w:val="00B113EC"/>
    <w:rsid w:val="00B119A5"/>
    <w:rsid w:val="00B11D89"/>
    <w:rsid w:val="00B140C6"/>
    <w:rsid w:val="00B1745B"/>
    <w:rsid w:val="00B179B1"/>
    <w:rsid w:val="00B2143F"/>
    <w:rsid w:val="00B22709"/>
    <w:rsid w:val="00B22719"/>
    <w:rsid w:val="00B22DF9"/>
    <w:rsid w:val="00B24C6A"/>
    <w:rsid w:val="00B3183A"/>
    <w:rsid w:val="00B3282E"/>
    <w:rsid w:val="00B3422E"/>
    <w:rsid w:val="00B350A2"/>
    <w:rsid w:val="00B35A5E"/>
    <w:rsid w:val="00B366E7"/>
    <w:rsid w:val="00B3727E"/>
    <w:rsid w:val="00B4164E"/>
    <w:rsid w:val="00B43493"/>
    <w:rsid w:val="00B451B4"/>
    <w:rsid w:val="00B4521D"/>
    <w:rsid w:val="00B45528"/>
    <w:rsid w:val="00B50656"/>
    <w:rsid w:val="00B50802"/>
    <w:rsid w:val="00B52207"/>
    <w:rsid w:val="00B5566E"/>
    <w:rsid w:val="00B55AFA"/>
    <w:rsid w:val="00B56B0C"/>
    <w:rsid w:val="00B63204"/>
    <w:rsid w:val="00B65E7A"/>
    <w:rsid w:val="00B66F4B"/>
    <w:rsid w:val="00B70F09"/>
    <w:rsid w:val="00B75724"/>
    <w:rsid w:val="00B75E1E"/>
    <w:rsid w:val="00B76095"/>
    <w:rsid w:val="00B77113"/>
    <w:rsid w:val="00B806D4"/>
    <w:rsid w:val="00B84E60"/>
    <w:rsid w:val="00B851A5"/>
    <w:rsid w:val="00B907A2"/>
    <w:rsid w:val="00B91E8B"/>
    <w:rsid w:val="00B94D06"/>
    <w:rsid w:val="00B9725A"/>
    <w:rsid w:val="00B97AA0"/>
    <w:rsid w:val="00BA10DE"/>
    <w:rsid w:val="00BA14C8"/>
    <w:rsid w:val="00BA186E"/>
    <w:rsid w:val="00BA255D"/>
    <w:rsid w:val="00BA5FA2"/>
    <w:rsid w:val="00BA6683"/>
    <w:rsid w:val="00BB1007"/>
    <w:rsid w:val="00BB2672"/>
    <w:rsid w:val="00BB3AA1"/>
    <w:rsid w:val="00BB5343"/>
    <w:rsid w:val="00BC00DF"/>
    <w:rsid w:val="00BC1D82"/>
    <w:rsid w:val="00BC3417"/>
    <w:rsid w:val="00BC3646"/>
    <w:rsid w:val="00BC6837"/>
    <w:rsid w:val="00BC73E2"/>
    <w:rsid w:val="00BC7AE9"/>
    <w:rsid w:val="00BC7D18"/>
    <w:rsid w:val="00BD005C"/>
    <w:rsid w:val="00BD7B42"/>
    <w:rsid w:val="00BE3BFE"/>
    <w:rsid w:val="00BE3F02"/>
    <w:rsid w:val="00BE45F6"/>
    <w:rsid w:val="00BE6732"/>
    <w:rsid w:val="00BF14CB"/>
    <w:rsid w:val="00BF2651"/>
    <w:rsid w:val="00BF523D"/>
    <w:rsid w:val="00BF6EC9"/>
    <w:rsid w:val="00C00A3F"/>
    <w:rsid w:val="00C01154"/>
    <w:rsid w:val="00C02263"/>
    <w:rsid w:val="00C02C66"/>
    <w:rsid w:val="00C039C7"/>
    <w:rsid w:val="00C10054"/>
    <w:rsid w:val="00C112FF"/>
    <w:rsid w:val="00C160D4"/>
    <w:rsid w:val="00C17630"/>
    <w:rsid w:val="00C22096"/>
    <w:rsid w:val="00C22826"/>
    <w:rsid w:val="00C22AFB"/>
    <w:rsid w:val="00C23F9C"/>
    <w:rsid w:val="00C2643D"/>
    <w:rsid w:val="00C33008"/>
    <w:rsid w:val="00C350A4"/>
    <w:rsid w:val="00C3712B"/>
    <w:rsid w:val="00C37175"/>
    <w:rsid w:val="00C45146"/>
    <w:rsid w:val="00C45850"/>
    <w:rsid w:val="00C45BF8"/>
    <w:rsid w:val="00C51034"/>
    <w:rsid w:val="00C53C94"/>
    <w:rsid w:val="00C53FA1"/>
    <w:rsid w:val="00C576F6"/>
    <w:rsid w:val="00C607A2"/>
    <w:rsid w:val="00C61731"/>
    <w:rsid w:val="00C667D4"/>
    <w:rsid w:val="00C6788D"/>
    <w:rsid w:val="00C67B93"/>
    <w:rsid w:val="00C704B6"/>
    <w:rsid w:val="00C7131C"/>
    <w:rsid w:val="00C74F04"/>
    <w:rsid w:val="00C77135"/>
    <w:rsid w:val="00C80B37"/>
    <w:rsid w:val="00C81D1E"/>
    <w:rsid w:val="00C83413"/>
    <w:rsid w:val="00C865D9"/>
    <w:rsid w:val="00C90EF8"/>
    <w:rsid w:val="00C94F6A"/>
    <w:rsid w:val="00C966E6"/>
    <w:rsid w:val="00C96CDA"/>
    <w:rsid w:val="00C96FF4"/>
    <w:rsid w:val="00CA44C7"/>
    <w:rsid w:val="00CA4D95"/>
    <w:rsid w:val="00CA746E"/>
    <w:rsid w:val="00CA775F"/>
    <w:rsid w:val="00CB00E0"/>
    <w:rsid w:val="00CB0608"/>
    <w:rsid w:val="00CB0989"/>
    <w:rsid w:val="00CB1160"/>
    <w:rsid w:val="00CB26B2"/>
    <w:rsid w:val="00CB6DAD"/>
    <w:rsid w:val="00CC120F"/>
    <w:rsid w:val="00CC16E4"/>
    <w:rsid w:val="00CC4768"/>
    <w:rsid w:val="00CC57E9"/>
    <w:rsid w:val="00CD1436"/>
    <w:rsid w:val="00CE0338"/>
    <w:rsid w:val="00CE179C"/>
    <w:rsid w:val="00CE2EDB"/>
    <w:rsid w:val="00CE30B3"/>
    <w:rsid w:val="00CE7550"/>
    <w:rsid w:val="00CF1038"/>
    <w:rsid w:val="00CF30DF"/>
    <w:rsid w:val="00CF6724"/>
    <w:rsid w:val="00CF7371"/>
    <w:rsid w:val="00D00114"/>
    <w:rsid w:val="00D01648"/>
    <w:rsid w:val="00D024F4"/>
    <w:rsid w:val="00D029A5"/>
    <w:rsid w:val="00D07A9C"/>
    <w:rsid w:val="00D100C6"/>
    <w:rsid w:val="00D106D3"/>
    <w:rsid w:val="00D10D4A"/>
    <w:rsid w:val="00D1104D"/>
    <w:rsid w:val="00D13F98"/>
    <w:rsid w:val="00D15A2E"/>
    <w:rsid w:val="00D15A96"/>
    <w:rsid w:val="00D212B2"/>
    <w:rsid w:val="00D22C3F"/>
    <w:rsid w:val="00D23992"/>
    <w:rsid w:val="00D25AB1"/>
    <w:rsid w:val="00D26059"/>
    <w:rsid w:val="00D30BEF"/>
    <w:rsid w:val="00D31B66"/>
    <w:rsid w:val="00D35DF9"/>
    <w:rsid w:val="00D36C0F"/>
    <w:rsid w:val="00D37116"/>
    <w:rsid w:val="00D4679C"/>
    <w:rsid w:val="00D46E99"/>
    <w:rsid w:val="00D50874"/>
    <w:rsid w:val="00D546DD"/>
    <w:rsid w:val="00D54954"/>
    <w:rsid w:val="00D615C7"/>
    <w:rsid w:val="00D640BB"/>
    <w:rsid w:val="00D643CC"/>
    <w:rsid w:val="00D754FF"/>
    <w:rsid w:val="00D776A6"/>
    <w:rsid w:val="00D83057"/>
    <w:rsid w:val="00D8474D"/>
    <w:rsid w:val="00D874CF"/>
    <w:rsid w:val="00D87672"/>
    <w:rsid w:val="00D87EB4"/>
    <w:rsid w:val="00D920A2"/>
    <w:rsid w:val="00D94E57"/>
    <w:rsid w:val="00D9623F"/>
    <w:rsid w:val="00D96476"/>
    <w:rsid w:val="00DA2448"/>
    <w:rsid w:val="00DA26D5"/>
    <w:rsid w:val="00DB01F3"/>
    <w:rsid w:val="00DB281F"/>
    <w:rsid w:val="00DB55D3"/>
    <w:rsid w:val="00DB7D52"/>
    <w:rsid w:val="00DC0FF2"/>
    <w:rsid w:val="00DD2679"/>
    <w:rsid w:val="00DD3732"/>
    <w:rsid w:val="00DE4C0A"/>
    <w:rsid w:val="00DE7FCC"/>
    <w:rsid w:val="00DF1254"/>
    <w:rsid w:val="00DF2A49"/>
    <w:rsid w:val="00DF742B"/>
    <w:rsid w:val="00E00C88"/>
    <w:rsid w:val="00E07DD6"/>
    <w:rsid w:val="00E14339"/>
    <w:rsid w:val="00E14A37"/>
    <w:rsid w:val="00E20133"/>
    <w:rsid w:val="00E208E1"/>
    <w:rsid w:val="00E23798"/>
    <w:rsid w:val="00E2533D"/>
    <w:rsid w:val="00E2780C"/>
    <w:rsid w:val="00E27BC6"/>
    <w:rsid w:val="00E309F5"/>
    <w:rsid w:val="00E32E48"/>
    <w:rsid w:val="00E33C0B"/>
    <w:rsid w:val="00E3706C"/>
    <w:rsid w:val="00E41C29"/>
    <w:rsid w:val="00E42875"/>
    <w:rsid w:val="00E436F2"/>
    <w:rsid w:val="00E53F4D"/>
    <w:rsid w:val="00E540B7"/>
    <w:rsid w:val="00E5459A"/>
    <w:rsid w:val="00E548FA"/>
    <w:rsid w:val="00E54B4C"/>
    <w:rsid w:val="00E55458"/>
    <w:rsid w:val="00E6140C"/>
    <w:rsid w:val="00E619C3"/>
    <w:rsid w:val="00E62934"/>
    <w:rsid w:val="00E66428"/>
    <w:rsid w:val="00E7240E"/>
    <w:rsid w:val="00E7253F"/>
    <w:rsid w:val="00E72643"/>
    <w:rsid w:val="00E80644"/>
    <w:rsid w:val="00E80D69"/>
    <w:rsid w:val="00E80F6D"/>
    <w:rsid w:val="00E83165"/>
    <w:rsid w:val="00E83609"/>
    <w:rsid w:val="00E83E7F"/>
    <w:rsid w:val="00E902E7"/>
    <w:rsid w:val="00E90E86"/>
    <w:rsid w:val="00E94BAE"/>
    <w:rsid w:val="00E94E3D"/>
    <w:rsid w:val="00EA4356"/>
    <w:rsid w:val="00EA4ACF"/>
    <w:rsid w:val="00EA60D0"/>
    <w:rsid w:val="00EA77B4"/>
    <w:rsid w:val="00EB1986"/>
    <w:rsid w:val="00EB23A7"/>
    <w:rsid w:val="00EB3695"/>
    <w:rsid w:val="00EB37B2"/>
    <w:rsid w:val="00EB3C20"/>
    <w:rsid w:val="00EB5DA4"/>
    <w:rsid w:val="00EB68BD"/>
    <w:rsid w:val="00EC228E"/>
    <w:rsid w:val="00EC750F"/>
    <w:rsid w:val="00ED0DF2"/>
    <w:rsid w:val="00ED29FF"/>
    <w:rsid w:val="00ED2B75"/>
    <w:rsid w:val="00ED56F9"/>
    <w:rsid w:val="00ED5CB1"/>
    <w:rsid w:val="00ED7426"/>
    <w:rsid w:val="00EE412F"/>
    <w:rsid w:val="00EE716D"/>
    <w:rsid w:val="00EF1CF9"/>
    <w:rsid w:val="00EF5326"/>
    <w:rsid w:val="00F02162"/>
    <w:rsid w:val="00F0462C"/>
    <w:rsid w:val="00F04D49"/>
    <w:rsid w:val="00F062AE"/>
    <w:rsid w:val="00F06C72"/>
    <w:rsid w:val="00F07B64"/>
    <w:rsid w:val="00F1022D"/>
    <w:rsid w:val="00F13CB2"/>
    <w:rsid w:val="00F144DD"/>
    <w:rsid w:val="00F157C9"/>
    <w:rsid w:val="00F15952"/>
    <w:rsid w:val="00F17138"/>
    <w:rsid w:val="00F17596"/>
    <w:rsid w:val="00F21FF3"/>
    <w:rsid w:val="00F22E1C"/>
    <w:rsid w:val="00F25001"/>
    <w:rsid w:val="00F269A3"/>
    <w:rsid w:val="00F35EBD"/>
    <w:rsid w:val="00F423BB"/>
    <w:rsid w:val="00F439E3"/>
    <w:rsid w:val="00F452BF"/>
    <w:rsid w:val="00F47154"/>
    <w:rsid w:val="00F51242"/>
    <w:rsid w:val="00F52DDC"/>
    <w:rsid w:val="00F53E35"/>
    <w:rsid w:val="00F53F3C"/>
    <w:rsid w:val="00F542BB"/>
    <w:rsid w:val="00F550AA"/>
    <w:rsid w:val="00F57615"/>
    <w:rsid w:val="00F57ABC"/>
    <w:rsid w:val="00F603E9"/>
    <w:rsid w:val="00F60930"/>
    <w:rsid w:val="00F628CF"/>
    <w:rsid w:val="00F659F8"/>
    <w:rsid w:val="00F72A5F"/>
    <w:rsid w:val="00F81218"/>
    <w:rsid w:val="00F85D58"/>
    <w:rsid w:val="00F86FD0"/>
    <w:rsid w:val="00F876A1"/>
    <w:rsid w:val="00F90162"/>
    <w:rsid w:val="00F94B4B"/>
    <w:rsid w:val="00F957DE"/>
    <w:rsid w:val="00F9755F"/>
    <w:rsid w:val="00FA1321"/>
    <w:rsid w:val="00FA35DF"/>
    <w:rsid w:val="00FA5EA1"/>
    <w:rsid w:val="00FA68AC"/>
    <w:rsid w:val="00FA7D1B"/>
    <w:rsid w:val="00FB0574"/>
    <w:rsid w:val="00FB1CEC"/>
    <w:rsid w:val="00FB3B35"/>
    <w:rsid w:val="00FD03FE"/>
    <w:rsid w:val="00FD34AC"/>
    <w:rsid w:val="00FD5067"/>
    <w:rsid w:val="00FD6402"/>
    <w:rsid w:val="00FE0835"/>
    <w:rsid w:val="00FE1A63"/>
    <w:rsid w:val="00FE1DCF"/>
    <w:rsid w:val="00FE4F3B"/>
    <w:rsid w:val="00FE6389"/>
    <w:rsid w:val="00FF2DBD"/>
    <w:rsid w:val="00FF3586"/>
    <w:rsid w:val="00FF43A7"/>
    <w:rsid w:val="00FF653D"/>
    <w:rsid w:val="00FF6B72"/>
    <w:rsid w:val="02176491"/>
    <w:rsid w:val="033008BB"/>
    <w:rsid w:val="03B5479A"/>
    <w:rsid w:val="04E75425"/>
    <w:rsid w:val="05BF0EC0"/>
    <w:rsid w:val="060D57BD"/>
    <w:rsid w:val="0633427F"/>
    <w:rsid w:val="064050A3"/>
    <w:rsid w:val="06CF0B37"/>
    <w:rsid w:val="089B0BA3"/>
    <w:rsid w:val="08F300CC"/>
    <w:rsid w:val="091A24A5"/>
    <w:rsid w:val="09F110DC"/>
    <w:rsid w:val="0A2A4FD9"/>
    <w:rsid w:val="0AB1158E"/>
    <w:rsid w:val="0B19028B"/>
    <w:rsid w:val="0B704738"/>
    <w:rsid w:val="0C2052F1"/>
    <w:rsid w:val="0CBE77E3"/>
    <w:rsid w:val="0D047654"/>
    <w:rsid w:val="0D4F6360"/>
    <w:rsid w:val="0E661B1F"/>
    <w:rsid w:val="0EEB36EC"/>
    <w:rsid w:val="1034236A"/>
    <w:rsid w:val="11091EDE"/>
    <w:rsid w:val="112D3C05"/>
    <w:rsid w:val="11676D8E"/>
    <w:rsid w:val="11692025"/>
    <w:rsid w:val="122F7A83"/>
    <w:rsid w:val="123D2214"/>
    <w:rsid w:val="12870DE3"/>
    <w:rsid w:val="12DF08FF"/>
    <w:rsid w:val="12E01AE0"/>
    <w:rsid w:val="13B764A4"/>
    <w:rsid w:val="13C14764"/>
    <w:rsid w:val="13F057E8"/>
    <w:rsid w:val="13F60738"/>
    <w:rsid w:val="14036BF5"/>
    <w:rsid w:val="151A0C8B"/>
    <w:rsid w:val="15753885"/>
    <w:rsid w:val="15BF475D"/>
    <w:rsid w:val="16895DD4"/>
    <w:rsid w:val="170E28A5"/>
    <w:rsid w:val="173B133D"/>
    <w:rsid w:val="174072B9"/>
    <w:rsid w:val="19406E97"/>
    <w:rsid w:val="19906E7D"/>
    <w:rsid w:val="19E77A9E"/>
    <w:rsid w:val="1B2A0CD8"/>
    <w:rsid w:val="1B303988"/>
    <w:rsid w:val="1C362180"/>
    <w:rsid w:val="1C444C2C"/>
    <w:rsid w:val="1CA621D5"/>
    <w:rsid w:val="1D817E5B"/>
    <w:rsid w:val="1D8C2D63"/>
    <w:rsid w:val="1E7A7D2E"/>
    <w:rsid w:val="1F337795"/>
    <w:rsid w:val="1FD431C5"/>
    <w:rsid w:val="20DD6539"/>
    <w:rsid w:val="212B3A00"/>
    <w:rsid w:val="215C6B13"/>
    <w:rsid w:val="21C15225"/>
    <w:rsid w:val="221D19D3"/>
    <w:rsid w:val="228760BF"/>
    <w:rsid w:val="22AD6357"/>
    <w:rsid w:val="22CF66FD"/>
    <w:rsid w:val="231247EE"/>
    <w:rsid w:val="243D7784"/>
    <w:rsid w:val="24853F58"/>
    <w:rsid w:val="24B418A3"/>
    <w:rsid w:val="256673C2"/>
    <w:rsid w:val="25992B51"/>
    <w:rsid w:val="259E479A"/>
    <w:rsid w:val="25FA6E90"/>
    <w:rsid w:val="26316CB1"/>
    <w:rsid w:val="26D05835"/>
    <w:rsid w:val="26DC0732"/>
    <w:rsid w:val="271504ED"/>
    <w:rsid w:val="27511125"/>
    <w:rsid w:val="287A7B87"/>
    <w:rsid w:val="28A528ED"/>
    <w:rsid w:val="28B437CB"/>
    <w:rsid w:val="29187F8D"/>
    <w:rsid w:val="294F10B8"/>
    <w:rsid w:val="29D447F6"/>
    <w:rsid w:val="29F50989"/>
    <w:rsid w:val="2A523EF2"/>
    <w:rsid w:val="2A9206AC"/>
    <w:rsid w:val="2AD97BAB"/>
    <w:rsid w:val="2B291268"/>
    <w:rsid w:val="2BA423B9"/>
    <w:rsid w:val="2BB52D65"/>
    <w:rsid w:val="2BD7234A"/>
    <w:rsid w:val="2BE97BA4"/>
    <w:rsid w:val="2BF717F3"/>
    <w:rsid w:val="2C0D7667"/>
    <w:rsid w:val="2C437A37"/>
    <w:rsid w:val="2C533744"/>
    <w:rsid w:val="2C6C4A86"/>
    <w:rsid w:val="2CD136FF"/>
    <w:rsid w:val="2D2C08E1"/>
    <w:rsid w:val="2DB875F3"/>
    <w:rsid w:val="2DD82900"/>
    <w:rsid w:val="2DF82992"/>
    <w:rsid w:val="2E034196"/>
    <w:rsid w:val="2EFF215F"/>
    <w:rsid w:val="2F236CBC"/>
    <w:rsid w:val="2FC977C0"/>
    <w:rsid w:val="304A36F4"/>
    <w:rsid w:val="3086332C"/>
    <w:rsid w:val="31182324"/>
    <w:rsid w:val="317B1DBF"/>
    <w:rsid w:val="31F348B7"/>
    <w:rsid w:val="32CB348B"/>
    <w:rsid w:val="32CD72CC"/>
    <w:rsid w:val="33657E90"/>
    <w:rsid w:val="33C65DCA"/>
    <w:rsid w:val="346910F4"/>
    <w:rsid w:val="34853694"/>
    <w:rsid w:val="34CC0E57"/>
    <w:rsid w:val="350677B1"/>
    <w:rsid w:val="35591EB5"/>
    <w:rsid w:val="35921100"/>
    <w:rsid w:val="35E47C47"/>
    <w:rsid w:val="365D438B"/>
    <w:rsid w:val="36CD7F81"/>
    <w:rsid w:val="373454E3"/>
    <w:rsid w:val="37AD1EC7"/>
    <w:rsid w:val="382A7AEF"/>
    <w:rsid w:val="38825F38"/>
    <w:rsid w:val="38C5370F"/>
    <w:rsid w:val="38D56486"/>
    <w:rsid w:val="396B57BF"/>
    <w:rsid w:val="39722413"/>
    <w:rsid w:val="39ED5494"/>
    <w:rsid w:val="3B8717C1"/>
    <w:rsid w:val="3BD15891"/>
    <w:rsid w:val="3C1856B8"/>
    <w:rsid w:val="3C1F7762"/>
    <w:rsid w:val="3C492996"/>
    <w:rsid w:val="3CB32C0A"/>
    <w:rsid w:val="3D13421D"/>
    <w:rsid w:val="3E0A1BEB"/>
    <w:rsid w:val="3E662E22"/>
    <w:rsid w:val="3EBC6486"/>
    <w:rsid w:val="4023235B"/>
    <w:rsid w:val="403E6C5E"/>
    <w:rsid w:val="407B35C7"/>
    <w:rsid w:val="40DF3BA5"/>
    <w:rsid w:val="41096C2F"/>
    <w:rsid w:val="41120C7C"/>
    <w:rsid w:val="41A374C2"/>
    <w:rsid w:val="42247D62"/>
    <w:rsid w:val="42970931"/>
    <w:rsid w:val="42CC3156"/>
    <w:rsid w:val="42D33049"/>
    <w:rsid w:val="42D7219B"/>
    <w:rsid w:val="436E44C7"/>
    <w:rsid w:val="437354CD"/>
    <w:rsid w:val="43BD506E"/>
    <w:rsid w:val="43CE09E5"/>
    <w:rsid w:val="442A0162"/>
    <w:rsid w:val="452D0F3B"/>
    <w:rsid w:val="45586FEE"/>
    <w:rsid w:val="45B31D7D"/>
    <w:rsid w:val="46153C9C"/>
    <w:rsid w:val="46835E89"/>
    <w:rsid w:val="46F25B86"/>
    <w:rsid w:val="47282037"/>
    <w:rsid w:val="474565F0"/>
    <w:rsid w:val="47DE746F"/>
    <w:rsid w:val="4835572E"/>
    <w:rsid w:val="486056EC"/>
    <w:rsid w:val="48A65FBC"/>
    <w:rsid w:val="48B8386A"/>
    <w:rsid w:val="49145C19"/>
    <w:rsid w:val="4A6C06D2"/>
    <w:rsid w:val="4A9D7A29"/>
    <w:rsid w:val="4ABD3DD2"/>
    <w:rsid w:val="4BD4099F"/>
    <w:rsid w:val="4C6F72DE"/>
    <w:rsid w:val="4C7005B3"/>
    <w:rsid w:val="4E231932"/>
    <w:rsid w:val="4E6C0ECF"/>
    <w:rsid w:val="4E923B16"/>
    <w:rsid w:val="4F1651D4"/>
    <w:rsid w:val="4F7836C3"/>
    <w:rsid w:val="4FB93BBD"/>
    <w:rsid w:val="50096BD2"/>
    <w:rsid w:val="502B704B"/>
    <w:rsid w:val="502D7573"/>
    <w:rsid w:val="506D479C"/>
    <w:rsid w:val="50BA569B"/>
    <w:rsid w:val="50D104AF"/>
    <w:rsid w:val="51475EAF"/>
    <w:rsid w:val="51492739"/>
    <w:rsid w:val="51876D0D"/>
    <w:rsid w:val="51B748EB"/>
    <w:rsid w:val="51BE47EE"/>
    <w:rsid w:val="51D21EDC"/>
    <w:rsid w:val="520714D3"/>
    <w:rsid w:val="52137701"/>
    <w:rsid w:val="525C10C0"/>
    <w:rsid w:val="52695BD1"/>
    <w:rsid w:val="52A341A2"/>
    <w:rsid w:val="53ED67EE"/>
    <w:rsid w:val="54177ADD"/>
    <w:rsid w:val="54873177"/>
    <w:rsid w:val="54B73EEF"/>
    <w:rsid w:val="54CA23CA"/>
    <w:rsid w:val="5512278F"/>
    <w:rsid w:val="552C23A8"/>
    <w:rsid w:val="560E5F86"/>
    <w:rsid w:val="565662F9"/>
    <w:rsid w:val="58412ED9"/>
    <w:rsid w:val="59944773"/>
    <w:rsid w:val="5A2E2F8A"/>
    <w:rsid w:val="5A4A0364"/>
    <w:rsid w:val="5A933BE2"/>
    <w:rsid w:val="5A9E5472"/>
    <w:rsid w:val="5AE65370"/>
    <w:rsid w:val="5B2059F9"/>
    <w:rsid w:val="5C3E4E5B"/>
    <w:rsid w:val="5C7B2F2F"/>
    <w:rsid w:val="5CAE2911"/>
    <w:rsid w:val="5CF01637"/>
    <w:rsid w:val="5DE11728"/>
    <w:rsid w:val="5E1F1152"/>
    <w:rsid w:val="5F0F4FB1"/>
    <w:rsid w:val="5F5226F9"/>
    <w:rsid w:val="5F943DAC"/>
    <w:rsid w:val="601B5337"/>
    <w:rsid w:val="60392093"/>
    <w:rsid w:val="604B754F"/>
    <w:rsid w:val="60A61EA4"/>
    <w:rsid w:val="60BD3F48"/>
    <w:rsid w:val="615722CF"/>
    <w:rsid w:val="61A02952"/>
    <w:rsid w:val="63332CE2"/>
    <w:rsid w:val="63AD5698"/>
    <w:rsid w:val="643E397B"/>
    <w:rsid w:val="646E524A"/>
    <w:rsid w:val="64964297"/>
    <w:rsid w:val="64EF49BB"/>
    <w:rsid w:val="650C6D95"/>
    <w:rsid w:val="652F4CD8"/>
    <w:rsid w:val="657D3011"/>
    <w:rsid w:val="65F934A5"/>
    <w:rsid w:val="660504A2"/>
    <w:rsid w:val="661425F8"/>
    <w:rsid w:val="6671766D"/>
    <w:rsid w:val="67276465"/>
    <w:rsid w:val="67535132"/>
    <w:rsid w:val="67AF6668"/>
    <w:rsid w:val="67DA1D94"/>
    <w:rsid w:val="680C6802"/>
    <w:rsid w:val="685632A9"/>
    <w:rsid w:val="68853107"/>
    <w:rsid w:val="68F87F45"/>
    <w:rsid w:val="695C3CC9"/>
    <w:rsid w:val="69AC087D"/>
    <w:rsid w:val="6A8F4A93"/>
    <w:rsid w:val="6B0E100A"/>
    <w:rsid w:val="6BC44710"/>
    <w:rsid w:val="6C213774"/>
    <w:rsid w:val="6C2F759D"/>
    <w:rsid w:val="6C6B4DE1"/>
    <w:rsid w:val="6D2569A2"/>
    <w:rsid w:val="6DF826B2"/>
    <w:rsid w:val="6EDC0609"/>
    <w:rsid w:val="6F283C13"/>
    <w:rsid w:val="6F2D53C1"/>
    <w:rsid w:val="6F9837E4"/>
    <w:rsid w:val="70391BEC"/>
    <w:rsid w:val="7045540C"/>
    <w:rsid w:val="70664847"/>
    <w:rsid w:val="7137592F"/>
    <w:rsid w:val="71501BAC"/>
    <w:rsid w:val="7192008A"/>
    <w:rsid w:val="71CC02F7"/>
    <w:rsid w:val="7273760E"/>
    <w:rsid w:val="734E2D80"/>
    <w:rsid w:val="735C6F33"/>
    <w:rsid w:val="74175CDA"/>
    <w:rsid w:val="74945FCF"/>
    <w:rsid w:val="74A72DE4"/>
    <w:rsid w:val="74D36D87"/>
    <w:rsid w:val="765D586A"/>
    <w:rsid w:val="77662668"/>
    <w:rsid w:val="77893F0F"/>
    <w:rsid w:val="786D4FC8"/>
    <w:rsid w:val="78DB26C6"/>
    <w:rsid w:val="790A292E"/>
    <w:rsid w:val="79523A81"/>
    <w:rsid w:val="79E34305"/>
    <w:rsid w:val="7A844AD1"/>
    <w:rsid w:val="7AD063E7"/>
    <w:rsid w:val="7B533D87"/>
    <w:rsid w:val="7BA13D41"/>
    <w:rsid w:val="7C775D5B"/>
    <w:rsid w:val="7C9F0D27"/>
    <w:rsid w:val="7CA3314F"/>
    <w:rsid w:val="7CD11DE5"/>
    <w:rsid w:val="7E053094"/>
    <w:rsid w:val="7E3F3D02"/>
    <w:rsid w:val="7F22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8"/>
    <w:link w:val="3"/>
    <w:semiHidden/>
    <w:qFormat/>
    <w:locked/>
    <w:uiPriority w:val="99"/>
    <w:rPr>
      <w:rFonts w:eastAsia="仿宋_GB2312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557D09-3C30-4763-9263-18FEA19F33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1061</Words>
  <Characters>6049</Characters>
  <Lines>50</Lines>
  <Paragraphs>14</Paragraphs>
  <TotalTime>0</TotalTime>
  <ScaleCrop>false</ScaleCrop>
  <LinksUpToDate>false</LinksUpToDate>
  <CharactersWithSpaces>7096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2020-12-28T06:33:00Z</dcterms:created>
  <dc:creator>zjc</dc:creator>
  <cp:lastModifiedBy>Administrator</cp:lastModifiedBy>
  <cp:lastPrinted>2022-12-15T05:44:00Z</cp:lastPrinted>
  <dcterms:modified xsi:type="dcterms:W3CDTF">2024-01-08T06:25:51Z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8980659CF2EE4D06A3E7A810EAB99E47</vt:lpwstr>
  </property>
</Properties>
</file>