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46218B">
      <w:pPr>
        <w:spacing w:line="600" w:lineRule="exact"/>
        <w:jc w:val="center"/>
        <w:rPr>
          <w:rFonts w:hint="eastAsia" w:ascii="黑体" w:hAnsi="黑体" w:eastAsia="黑体"/>
          <w:b/>
          <w:bCs/>
          <w:sz w:val="36"/>
        </w:rPr>
      </w:pPr>
      <w:r>
        <w:rPr>
          <w:rFonts w:hint="eastAsia" w:ascii="黑体" w:hAnsi="黑体" w:eastAsia="黑体"/>
          <w:b/>
          <w:bCs/>
          <w:sz w:val="36"/>
        </w:rPr>
        <w:t>《庄河市步云山乡崔店村村庄规划（2021</w:t>
      </w:r>
      <w:r>
        <w:rPr>
          <w:rFonts w:hint="eastAsia" w:ascii="黑体" w:hAnsi="黑体" w:eastAsia="黑体"/>
          <w:b/>
          <w:bCs/>
          <w:sz w:val="36"/>
          <w:lang w:eastAsia="zh-CN"/>
        </w:rPr>
        <w:t>—</w:t>
      </w:r>
      <w:r>
        <w:rPr>
          <w:rFonts w:hint="eastAsia" w:ascii="黑体" w:hAnsi="黑体" w:eastAsia="黑体"/>
          <w:b/>
          <w:bCs/>
          <w:sz w:val="36"/>
        </w:rPr>
        <w:t>2035年）》</w:t>
      </w:r>
    </w:p>
    <w:p w14:paraId="3A819E73">
      <w:pPr>
        <w:spacing w:line="600" w:lineRule="exact"/>
        <w:jc w:val="center"/>
        <w:rPr>
          <w:rFonts w:hint="eastAsia" w:ascii="黑体" w:hAnsi="黑体" w:eastAsia="黑体"/>
          <w:b/>
          <w:bCs/>
          <w:sz w:val="36"/>
        </w:rPr>
      </w:pPr>
      <w:r>
        <w:rPr>
          <w:rFonts w:hint="eastAsia" w:ascii="黑体" w:hAnsi="黑体" w:eastAsia="黑体"/>
          <w:b/>
          <w:bCs/>
          <w:sz w:val="36"/>
        </w:rPr>
        <w:t>公告</w:t>
      </w:r>
    </w:p>
    <w:p w14:paraId="7FF64D89">
      <w:pPr>
        <w:spacing w:line="600" w:lineRule="exact"/>
        <w:jc w:val="center"/>
        <w:rPr>
          <w:rFonts w:hint="eastAsia" w:ascii="黑体" w:hAnsi="黑体" w:eastAsia="黑体"/>
          <w:b/>
          <w:bCs/>
          <w:sz w:val="36"/>
        </w:rPr>
      </w:pPr>
    </w:p>
    <w:p w14:paraId="6CFD6C33">
      <w:pPr>
        <w:spacing w:line="600" w:lineRule="exact"/>
        <w:rPr>
          <w:rFonts w:hint="eastAsia" w:ascii="黑体" w:hAnsi="黑体" w:eastAsia="黑体"/>
          <w:b/>
          <w:bCs/>
          <w:sz w:val="32"/>
        </w:rPr>
      </w:pPr>
      <w:r>
        <w:rPr>
          <w:rFonts w:hint="eastAsia" w:ascii="黑体" w:hAnsi="黑体" w:eastAsia="黑体"/>
          <w:b/>
          <w:bCs/>
          <w:sz w:val="32"/>
        </w:rPr>
        <w:t>一、基本情况</w:t>
      </w:r>
    </w:p>
    <w:p w14:paraId="512CE167">
      <w:pPr>
        <w:spacing w:line="600" w:lineRule="exact"/>
        <w:ind w:firstLine="640" w:firstLineChars="200"/>
        <w:rPr>
          <w:rFonts w:hint="eastAsia" w:ascii="仿宋" w:hAnsi="仿宋" w:eastAsia="仿宋"/>
          <w:sz w:val="32"/>
        </w:rPr>
      </w:pPr>
      <w:r>
        <w:rPr>
          <w:rFonts w:hint="eastAsia" w:ascii="仿宋" w:hAnsi="仿宋" w:eastAsia="仿宋"/>
          <w:sz w:val="32"/>
        </w:rPr>
        <w:t>1.区域位置</w:t>
      </w:r>
    </w:p>
    <w:p w14:paraId="222B0EAD">
      <w:pPr>
        <w:spacing w:line="600" w:lineRule="exact"/>
        <w:ind w:firstLine="640" w:firstLineChars="200"/>
        <w:rPr>
          <w:rFonts w:hint="eastAsia" w:ascii="仿宋" w:hAnsi="仿宋" w:eastAsia="仿宋"/>
          <w:sz w:val="32"/>
        </w:rPr>
      </w:pPr>
      <w:r>
        <w:rPr>
          <w:rFonts w:hint="eastAsia" w:ascii="仿宋" w:hAnsi="仿宋" w:eastAsia="仿宋"/>
          <w:sz w:val="32"/>
        </w:rPr>
        <w:t>崔店村位于庄河市东北部、步云山乡南部。距离庄盖高速公路最近收费口约5公里，距离仙人洞景区约20公里。</w:t>
      </w:r>
    </w:p>
    <w:p w14:paraId="66F9C7B6">
      <w:pPr>
        <w:spacing w:line="600" w:lineRule="exact"/>
        <w:ind w:firstLine="640" w:firstLineChars="200"/>
        <w:rPr>
          <w:rFonts w:hint="eastAsia" w:ascii="仿宋" w:hAnsi="仿宋" w:eastAsia="仿宋"/>
          <w:sz w:val="32"/>
        </w:rPr>
      </w:pPr>
      <w:r>
        <w:rPr>
          <w:rFonts w:hint="eastAsia" w:ascii="仿宋" w:hAnsi="仿宋" w:eastAsia="仿宋"/>
          <w:sz w:val="32"/>
        </w:rPr>
        <w:t>2.规划</w:t>
      </w:r>
      <w:r>
        <w:rPr>
          <w:rFonts w:ascii="仿宋" w:hAnsi="仿宋" w:eastAsia="仿宋"/>
          <w:sz w:val="32"/>
        </w:rPr>
        <w:t>范围</w:t>
      </w:r>
    </w:p>
    <w:p w14:paraId="6A81B2A9">
      <w:pPr>
        <w:spacing w:line="600" w:lineRule="exact"/>
        <w:ind w:firstLine="640" w:firstLineChars="200"/>
        <w:rPr>
          <w:rFonts w:hint="eastAsia" w:ascii="仿宋" w:hAnsi="仿宋" w:eastAsia="仿宋"/>
          <w:sz w:val="32"/>
        </w:rPr>
      </w:pPr>
      <w:r>
        <w:rPr>
          <w:rFonts w:hint="eastAsia" w:ascii="仿宋" w:hAnsi="仿宋" w:eastAsia="仿宋"/>
          <w:sz w:val="32"/>
        </w:rPr>
        <w:t>规划范围为庄河市崔店村整个村域国土空间范围，东接蓉花山镇，南邻长岭镇，西临温泉村、谦泰村、长巨村，北接步云山村，村域总用地面积为5247.73公顷。</w:t>
      </w:r>
    </w:p>
    <w:p w14:paraId="6995EEA9">
      <w:pPr>
        <w:spacing w:line="600" w:lineRule="exact"/>
        <w:ind w:firstLine="640" w:firstLineChars="200"/>
        <w:rPr>
          <w:rFonts w:hint="eastAsia" w:ascii="仿宋" w:hAnsi="仿宋" w:eastAsia="仿宋"/>
          <w:sz w:val="32"/>
        </w:rPr>
      </w:pPr>
      <w:r>
        <w:rPr>
          <w:rFonts w:hint="eastAsia" w:ascii="仿宋" w:hAnsi="仿宋" w:eastAsia="仿宋"/>
          <w:sz w:val="32"/>
        </w:rPr>
        <w:t>村域地势四周高、中间低，现状全域山林资源分布较广，国土空间呈现“九分山水、一分田村”的格局。</w:t>
      </w:r>
    </w:p>
    <w:p w14:paraId="2CEA96B0">
      <w:pPr>
        <w:spacing w:line="600" w:lineRule="exact"/>
        <w:ind w:firstLine="640" w:firstLineChars="200"/>
        <w:rPr>
          <w:rFonts w:hint="eastAsia" w:ascii="仿宋" w:hAnsi="仿宋" w:eastAsia="仿宋"/>
          <w:sz w:val="32"/>
        </w:rPr>
      </w:pPr>
      <w:r>
        <w:rPr>
          <w:rFonts w:hint="eastAsia" w:ascii="仿宋" w:hAnsi="仿宋" w:eastAsia="仿宋"/>
          <w:sz w:val="32"/>
        </w:rPr>
        <w:t>3.规划期限</w:t>
      </w:r>
    </w:p>
    <w:p w14:paraId="7F438B77">
      <w:pPr>
        <w:spacing w:line="600" w:lineRule="exact"/>
        <w:ind w:firstLine="640" w:firstLineChars="200"/>
        <w:rPr>
          <w:rFonts w:hint="eastAsia" w:ascii="仿宋" w:hAnsi="仿宋" w:eastAsia="仿宋"/>
          <w:sz w:val="32"/>
        </w:rPr>
      </w:pPr>
      <w:r>
        <w:rPr>
          <w:rFonts w:hint="eastAsia" w:ascii="仿宋" w:hAnsi="仿宋" w:eastAsia="仿宋"/>
          <w:sz w:val="32"/>
        </w:rPr>
        <w:t>规划基期2020年，近期至2025年，远期至2035年。</w:t>
      </w:r>
    </w:p>
    <w:p w14:paraId="28AEABE6">
      <w:pPr>
        <w:spacing w:line="600" w:lineRule="exact"/>
        <w:rPr>
          <w:rFonts w:hint="eastAsia" w:ascii="黑体" w:hAnsi="黑体" w:eastAsia="黑体"/>
          <w:b/>
          <w:bCs/>
          <w:sz w:val="32"/>
        </w:rPr>
      </w:pPr>
      <w:r>
        <w:rPr>
          <w:rFonts w:hint="eastAsia" w:ascii="黑体" w:hAnsi="黑体" w:eastAsia="黑体"/>
          <w:b/>
          <w:bCs/>
          <w:sz w:val="32"/>
        </w:rPr>
        <w:t>二、国土空间管控</w:t>
      </w:r>
    </w:p>
    <w:p w14:paraId="46CFBE89">
      <w:pPr>
        <w:spacing w:line="600" w:lineRule="exact"/>
        <w:ind w:firstLine="640" w:firstLineChars="200"/>
        <w:rPr>
          <w:rFonts w:ascii="仿宋" w:hAnsi="仿宋" w:eastAsia="仿宋"/>
          <w:sz w:val="32"/>
        </w:rPr>
      </w:pPr>
      <w:r>
        <w:rPr>
          <w:rFonts w:hint="eastAsia" w:ascii="仿宋" w:hAnsi="仿宋" w:eastAsia="仿宋"/>
          <w:sz w:val="32"/>
        </w:rPr>
        <w:t>落实《大连市庄河市步云山乡国土空间总体规划（2021</w:t>
      </w:r>
      <w:r>
        <w:rPr>
          <w:rFonts w:hint="eastAsia" w:ascii="仿宋" w:hAnsi="仿宋" w:eastAsia="仿宋"/>
          <w:sz w:val="32"/>
          <w:lang w:eastAsia="zh-CN"/>
        </w:rPr>
        <w:t>—</w:t>
      </w:r>
      <w:r>
        <w:rPr>
          <w:rFonts w:hint="eastAsia" w:ascii="仿宋" w:hAnsi="仿宋" w:eastAsia="仿宋"/>
          <w:sz w:val="32"/>
        </w:rPr>
        <w:t>2035年）》相关内容，明确崔店村</w:t>
      </w:r>
      <w:r>
        <w:rPr>
          <w:rFonts w:ascii="仿宋" w:hAnsi="仿宋" w:eastAsia="仿宋"/>
          <w:sz w:val="32"/>
        </w:rPr>
        <w:t>定位为特色保护类</w:t>
      </w:r>
      <w:r>
        <w:rPr>
          <w:rFonts w:hint="eastAsia" w:ascii="仿宋" w:hAnsi="仿宋" w:eastAsia="仿宋"/>
          <w:sz w:val="32"/>
          <w:lang w:eastAsia="zh-CN"/>
        </w:rPr>
        <w:t>村庄</w:t>
      </w:r>
      <w:r>
        <w:rPr>
          <w:rFonts w:hint="eastAsia" w:ascii="仿宋" w:hAnsi="仿宋" w:eastAsia="仿宋"/>
          <w:sz w:val="32"/>
        </w:rPr>
        <w:t>，至2035年乡村常住人口约1600人。</w:t>
      </w:r>
      <w:r>
        <w:rPr>
          <w:rFonts w:ascii="仿宋" w:hAnsi="仿宋" w:eastAsia="仿宋"/>
          <w:sz w:val="32"/>
        </w:rPr>
        <w:t>约束性指标包括：</w:t>
      </w:r>
      <w:r>
        <w:rPr>
          <w:rFonts w:hint="eastAsia" w:ascii="仿宋" w:hAnsi="仿宋" w:eastAsia="仿宋"/>
          <w:sz w:val="32"/>
        </w:rPr>
        <w:t>生态保护红线4044.11公顷，</w:t>
      </w:r>
      <w:r>
        <w:rPr>
          <w:rFonts w:ascii="仿宋" w:hAnsi="仿宋" w:eastAsia="仿宋"/>
          <w:sz w:val="32"/>
        </w:rPr>
        <w:t>永久基本农田面积</w:t>
      </w:r>
      <w:r>
        <w:rPr>
          <w:rFonts w:hint="eastAsia" w:ascii="仿宋" w:hAnsi="仿宋" w:eastAsia="仿宋"/>
          <w:sz w:val="32"/>
        </w:rPr>
        <w:t>383.74</w:t>
      </w:r>
      <w:r>
        <w:rPr>
          <w:rFonts w:ascii="仿宋" w:hAnsi="仿宋" w:eastAsia="仿宋"/>
          <w:sz w:val="32"/>
        </w:rPr>
        <w:t>公顷，耕地保有量</w:t>
      </w:r>
      <w:r>
        <w:rPr>
          <w:rFonts w:hint="eastAsia" w:ascii="仿宋" w:hAnsi="仿宋" w:eastAsia="仿宋"/>
          <w:sz w:val="32"/>
        </w:rPr>
        <w:t>406.12</w:t>
      </w:r>
      <w:r>
        <w:rPr>
          <w:rFonts w:ascii="仿宋" w:hAnsi="仿宋" w:eastAsia="仿宋"/>
          <w:sz w:val="32"/>
        </w:rPr>
        <w:t>公顷，湿地面积</w:t>
      </w:r>
      <w:r>
        <w:rPr>
          <w:rFonts w:hint="eastAsia" w:ascii="仿宋" w:hAnsi="仿宋" w:eastAsia="仿宋"/>
          <w:sz w:val="32"/>
        </w:rPr>
        <w:t>1.63</w:t>
      </w:r>
      <w:r>
        <w:rPr>
          <w:rFonts w:ascii="仿宋" w:hAnsi="仿宋" w:eastAsia="仿宋"/>
          <w:sz w:val="32"/>
        </w:rPr>
        <w:t>公顷，村庄建设边界面积</w:t>
      </w:r>
      <w:r>
        <w:rPr>
          <w:rFonts w:hint="eastAsia" w:ascii="仿宋" w:hAnsi="仿宋" w:eastAsia="仿宋"/>
          <w:sz w:val="32"/>
        </w:rPr>
        <w:t>87.17</w:t>
      </w:r>
      <w:r>
        <w:rPr>
          <w:rFonts w:ascii="仿宋" w:hAnsi="仿宋" w:eastAsia="仿宋"/>
          <w:sz w:val="32"/>
        </w:rPr>
        <w:t>公顷。</w:t>
      </w:r>
    </w:p>
    <w:p w14:paraId="79D7FC18">
      <w:pPr>
        <w:spacing w:line="600" w:lineRule="exact"/>
        <w:ind w:firstLine="640" w:firstLineChars="200"/>
        <w:rPr>
          <w:rFonts w:hint="eastAsia" w:ascii="仿宋" w:hAnsi="仿宋" w:eastAsia="仿宋"/>
          <w:sz w:val="32"/>
        </w:rPr>
      </w:pPr>
      <w:r>
        <w:rPr>
          <w:rFonts w:hint="eastAsia" w:ascii="仿宋" w:hAnsi="仿宋" w:eastAsia="仿宋"/>
          <w:sz w:val="32"/>
        </w:rPr>
        <w:t>1.</w:t>
      </w:r>
      <w:r>
        <w:rPr>
          <w:rFonts w:ascii="仿宋" w:hAnsi="仿宋" w:eastAsia="仿宋"/>
          <w:sz w:val="32"/>
        </w:rPr>
        <w:t>保护生态空间</w:t>
      </w:r>
    </w:p>
    <w:p w14:paraId="6DEF2E5C">
      <w:pPr>
        <w:spacing w:line="600" w:lineRule="exact"/>
        <w:ind w:firstLine="640" w:firstLineChars="200"/>
        <w:rPr>
          <w:rFonts w:hint="eastAsia" w:ascii="仿宋" w:hAnsi="仿宋" w:eastAsia="仿宋"/>
          <w:sz w:val="32"/>
        </w:rPr>
      </w:pPr>
      <w:r>
        <w:rPr>
          <w:rFonts w:hint="eastAsia" w:ascii="仿宋" w:hAnsi="仿宋" w:eastAsia="仿宋"/>
          <w:sz w:val="32"/>
        </w:rPr>
        <w:t>生态空间基于林地、草地、湿地和陆地水域等用途空间构成。崔店村位于庄河北部生态涵养区，林地广布于四周山体，生态资源丰富，生态品质高，与周边山林环境共同构成区域生态安全格局和维护生物多样性的生态功能区</w:t>
      </w:r>
      <w:r>
        <w:rPr>
          <w:rFonts w:ascii="仿宋" w:hAnsi="仿宋" w:eastAsia="仿宋"/>
          <w:sz w:val="32"/>
        </w:rPr>
        <w:t>。</w:t>
      </w:r>
    </w:p>
    <w:p w14:paraId="0BD27331">
      <w:pPr>
        <w:spacing w:line="600" w:lineRule="exact"/>
        <w:ind w:firstLine="640" w:firstLineChars="200"/>
        <w:rPr>
          <w:rFonts w:hint="eastAsia" w:ascii="仿宋" w:hAnsi="仿宋" w:eastAsia="仿宋"/>
          <w:sz w:val="32"/>
        </w:rPr>
      </w:pPr>
      <w:r>
        <w:rPr>
          <w:rFonts w:hint="eastAsia" w:ascii="仿宋" w:hAnsi="仿宋" w:eastAsia="仿宋"/>
          <w:sz w:val="32"/>
        </w:rPr>
        <w:t>生态空间总面积4628.68公顷，其中生态保护红线面积4044.11公顷。根据《大连市庄河市步云山乡国土空间总体规划（2021</w:t>
      </w:r>
      <w:r>
        <w:rPr>
          <w:rFonts w:hint="eastAsia" w:ascii="仿宋" w:hAnsi="仿宋" w:eastAsia="仿宋"/>
          <w:sz w:val="32"/>
          <w:lang w:eastAsia="zh-CN"/>
        </w:rPr>
        <w:t>—</w:t>
      </w:r>
      <w:r>
        <w:rPr>
          <w:rFonts w:hint="eastAsia" w:ascii="仿宋" w:hAnsi="仿宋" w:eastAsia="仿宋"/>
          <w:sz w:val="32"/>
        </w:rPr>
        <w:t>2035年）》，逐步清退并修复生态保护红线内不利于生态保护的非基础设施类建设用地；生态保护红线内人为活动管控要求，按照自然资源部</w:t>
      </w:r>
      <w:r>
        <w:rPr>
          <w:rFonts w:ascii="Calibri" w:hAnsi="Calibri" w:eastAsia="仿宋" w:cs="Calibri"/>
          <w:sz w:val="32"/>
        </w:rPr>
        <w:t> </w:t>
      </w:r>
      <w:r>
        <w:rPr>
          <w:rFonts w:hint="eastAsia" w:ascii="仿宋" w:hAnsi="仿宋" w:eastAsia="仿宋"/>
          <w:sz w:val="32"/>
        </w:rPr>
        <w:t>生态环境部</w:t>
      </w:r>
      <w:r>
        <w:rPr>
          <w:rFonts w:ascii="Calibri" w:hAnsi="Calibri" w:eastAsia="仿宋" w:cs="Calibri"/>
          <w:sz w:val="32"/>
        </w:rPr>
        <w:t> </w:t>
      </w:r>
      <w:r>
        <w:rPr>
          <w:rFonts w:hint="eastAsia" w:ascii="仿宋" w:hAnsi="仿宋" w:eastAsia="仿宋"/>
          <w:sz w:val="32"/>
        </w:rPr>
        <w:t>国家林业和草原局联合印发的《关于加强生态保护红线管理的通知（试行）》（自然资发〔2022〕142号）执行。</w:t>
      </w:r>
    </w:p>
    <w:p w14:paraId="25635226">
      <w:pPr>
        <w:spacing w:line="600" w:lineRule="exact"/>
        <w:ind w:firstLine="640" w:firstLineChars="200"/>
        <w:rPr>
          <w:rFonts w:hint="eastAsia" w:ascii="仿宋" w:hAnsi="仿宋" w:eastAsia="仿宋"/>
          <w:sz w:val="32"/>
        </w:rPr>
      </w:pPr>
      <w:r>
        <w:rPr>
          <w:rFonts w:hint="eastAsia" w:ascii="仿宋" w:hAnsi="仿宋" w:eastAsia="仿宋"/>
          <w:sz w:val="32"/>
        </w:rPr>
        <w:t>2</w:t>
      </w:r>
      <w:r>
        <w:rPr>
          <w:rFonts w:ascii="仿宋" w:hAnsi="仿宋" w:eastAsia="仿宋"/>
          <w:sz w:val="32"/>
        </w:rPr>
        <w:t>.保障农业空间</w:t>
      </w:r>
    </w:p>
    <w:p w14:paraId="2D03E55E">
      <w:pPr>
        <w:spacing w:line="600" w:lineRule="exact"/>
        <w:ind w:firstLine="640" w:firstLineChars="200"/>
        <w:rPr>
          <w:rFonts w:hint="eastAsia" w:ascii="仿宋" w:hAnsi="仿宋" w:eastAsia="仿宋"/>
          <w:sz w:val="32"/>
        </w:rPr>
      </w:pPr>
      <w:r>
        <w:rPr>
          <w:rFonts w:hint="eastAsia" w:ascii="仿宋" w:hAnsi="仿宋" w:eastAsia="仿宋"/>
          <w:sz w:val="32"/>
        </w:rPr>
        <w:t>农业空间基于耕地、园地、设施农用地等用途空间形成。主要分布于崔店村中部沿东西向水系流域地带，基于较好的农业资源条件，形成生态型、复合型、休闲型农业空间。</w:t>
      </w:r>
    </w:p>
    <w:p w14:paraId="58FFBD89">
      <w:pPr>
        <w:spacing w:line="600" w:lineRule="exact"/>
        <w:ind w:firstLine="640" w:firstLineChars="200"/>
        <w:rPr>
          <w:rFonts w:hint="eastAsia" w:ascii="仿宋" w:hAnsi="仿宋" w:eastAsia="仿宋"/>
          <w:sz w:val="32"/>
        </w:rPr>
      </w:pPr>
      <w:r>
        <w:rPr>
          <w:rFonts w:hint="eastAsia" w:ascii="仿宋" w:hAnsi="仿宋" w:eastAsia="仿宋"/>
          <w:sz w:val="32"/>
        </w:rPr>
        <w:t>统筹安排、优先保障</w:t>
      </w:r>
      <w:r>
        <w:rPr>
          <w:rFonts w:ascii="仿宋" w:hAnsi="仿宋" w:eastAsia="仿宋"/>
          <w:sz w:val="32"/>
        </w:rPr>
        <w:t>农业发展空间</w:t>
      </w:r>
      <w:r>
        <w:rPr>
          <w:rFonts w:hint="eastAsia" w:ascii="仿宋" w:hAnsi="仿宋" w:eastAsia="仿宋"/>
          <w:sz w:val="32"/>
        </w:rPr>
        <w:t>488.883公顷，重点保护383.74</w:t>
      </w:r>
      <w:r>
        <w:rPr>
          <w:rFonts w:ascii="仿宋" w:hAnsi="仿宋" w:eastAsia="仿宋"/>
          <w:sz w:val="32"/>
        </w:rPr>
        <w:t>公顷</w:t>
      </w:r>
      <w:r>
        <w:rPr>
          <w:rFonts w:hint="eastAsia" w:ascii="仿宋" w:hAnsi="仿宋" w:eastAsia="仿宋"/>
          <w:sz w:val="32"/>
        </w:rPr>
        <w:t>永久基本农田。坚守耕地保护底线，控制非农建设占用耕地，严格实现耕地占补平衡，稳步开发耕地后备资源，保证耕地数量平衡，借助山林资源及环境优势，发展软枣、樱桃等水果种植，促进沟域经济</w:t>
      </w:r>
      <w:r>
        <w:rPr>
          <w:rFonts w:ascii="仿宋" w:hAnsi="仿宋" w:eastAsia="仿宋"/>
          <w:sz w:val="32"/>
        </w:rPr>
        <w:t>。</w:t>
      </w:r>
      <w:r>
        <w:rPr>
          <w:rFonts w:hint="eastAsia" w:ascii="仿宋" w:hAnsi="仿宋" w:eastAsia="仿宋"/>
          <w:sz w:val="32"/>
        </w:rPr>
        <w:t>规划果园71.60公顷，设施农业11.16公顷，</w:t>
      </w:r>
      <w:r>
        <w:rPr>
          <w:rFonts w:ascii="仿宋" w:hAnsi="仿宋" w:eastAsia="仿宋"/>
          <w:sz w:val="32"/>
        </w:rPr>
        <w:t>鼓励发展</w:t>
      </w:r>
      <w:r>
        <w:rPr>
          <w:rFonts w:hint="eastAsia" w:ascii="仿宋" w:hAnsi="仿宋" w:eastAsia="仿宋"/>
          <w:sz w:val="32"/>
        </w:rPr>
        <w:t>现代化设施农业和循环生态农业为支柱，适度发展林下经济。</w:t>
      </w:r>
    </w:p>
    <w:p w14:paraId="3E5BA6F5">
      <w:pPr>
        <w:spacing w:line="600" w:lineRule="exact"/>
        <w:ind w:firstLine="640" w:firstLineChars="200"/>
        <w:rPr>
          <w:rFonts w:hint="eastAsia" w:ascii="仿宋" w:hAnsi="仿宋" w:eastAsia="仿宋"/>
          <w:sz w:val="32"/>
        </w:rPr>
      </w:pPr>
      <w:r>
        <w:rPr>
          <w:rFonts w:hint="eastAsia" w:ascii="仿宋" w:hAnsi="仿宋" w:eastAsia="仿宋"/>
          <w:sz w:val="32"/>
        </w:rPr>
        <w:t>3.</w:t>
      </w:r>
      <w:r>
        <w:rPr>
          <w:rFonts w:ascii="仿宋" w:hAnsi="仿宋" w:eastAsia="仿宋"/>
          <w:sz w:val="32"/>
        </w:rPr>
        <w:t>优化建设空间</w:t>
      </w:r>
    </w:p>
    <w:p w14:paraId="3A2A4139">
      <w:pPr>
        <w:spacing w:line="600" w:lineRule="exact"/>
        <w:ind w:firstLine="640" w:firstLineChars="200"/>
        <w:rPr>
          <w:rFonts w:hint="eastAsia" w:ascii="仿宋" w:hAnsi="仿宋" w:eastAsia="仿宋"/>
          <w:sz w:val="32"/>
        </w:rPr>
      </w:pPr>
      <w:r>
        <w:rPr>
          <w:rFonts w:hint="eastAsia" w:ascii="仿宋" w:hAnsi="仿宋" w:eastAsia="仿宋"/>
          <w:sz w:val="32"/>
        </w:rPr>
        <w:t>建设空间落实《大连市庄河市步云山乡国土空间总体规划（2021</w:t>
      </w:r>
      <w:r>
        <w:rPr>
          <w:rFonts w:hint="eastAsia" w:ascii="仿宋" w:hAnsi="仿宋" w:eastAsia="仿宋"/>
          <w:sz w:val="32"/>
          <w:lang w:eastAsia="zh-CN"/>
        </w:rPr>
        <w:t>—</w:t>
      </w:r>
      <w:r>
        <w:rPr>
          <w:rFonts w:hint="eastAsia" w:ascii="仿宋" w:hAnsi="仿宋" w:eastAsia="仿宋"/>
          <w:sz w:val="32"/>
        </w:rPr>
        <w:t>2035年）》传导的</w:t>
      </w:r>
      <w:r>
        <w:rPr>
          <w:rFonts w:ascii="仿宋" w:hAnsi="仿宋" w:eastAsia="仿宋"/>
          <w:sz w:val="32"/>
        </w:rPr>
        <w:t>村庄建设边界面积</w:t>
      </w:r>
      <w:r>
        <w:rPr>
          <w:rFonts w:hint="eastAsia" w:ascii="仿宋" w:hAnsi="仿宋" w:eastAsia="仿宋"/>
          <w:sz w:val="32"/>
        </w:rPr>
        <w:t>87.17</w:t>
      </w:r>
      <w:r>
        <w:rPr>
          <w:rFonts w:ascii="仿宋" w:hAnsi="仿宋" w:eastAsia="仿宋"/>
          <w:sz w:val="32"/>
        </w:rPr>
        <w:t>公顷。</w:t>
      </w:r>
    </w:p>
    <w:p w14:paraId="72BFDC7A">
      <w:pPr>
        <w:spacing w:line="600" w:lineRule="exact"/>
        <w:ind w:firstLine="640" w:firstLineChars="200"/>
        <w:rPr>
          <w:rFonts w:hint="eastAsia" w:ascii="仿宋" w:hAnsi="仿宋" w:eastAsia="仿宋"/>
          <w:sz w:val="32"/>
        </w:rPr>
      </w:pPr>
      <w:r>
        <w:rPr>
          <w:rFonts w:ascii="仿宋" w:hAnsi="仿宋" w:eastAsia="仿宋"/>
          <w:sz w:val="32"/>
        </w:rPr>
        <w:t>根据上位规划指标传导及乡村地区人口变化趋势，</w:t>
      </w:r>
      <w:r>
        <w:rPr>
          <w:rFonts w:hint="eastAsia" w:ascii="仿宋" w:hAnsi="仿宋" w:eastAsia="仿宋"/>
          <w:sz w:val="32"/>
        </w:rPr>
        <w:t>村庄</w:t>
      </w:r>
      <w:r>
        <w:rPr>
          <w:rFonts w:ascii="仿宋" w:hAnsi="仿宋" w:eastAsia="仿宋"/>
          <w:sz w:val="32"/>
        </w:rPr>
        <w:t>建设</w:t>
      </w:r>
      <w:r>
        <w:rPr>
          <w:rFonts w:hint="eastAsia" w:ascii="仿宋" w:hAnsi="仿宋" w:eastAsia="仿宋"/>
          <w:sz w:val="32"/>
        </w:rPr>
        <w:t>空间</w:t>
      </w:r>
      <w:r>
        <w:rPr>
          <w:rFonts w:ascii="仿宋" w:hAnsi="仿宋" w:eastAsia="仿宋"/>
          <w:sz w:val="32"/>
        </w:rPr>
        <w:t>以</w:t>
      </w:r>
      <w:r>
        <w:rPr>
          <w:rFonts w:hint="eastAsia" w:ascii="仿宋" w:hAnsi="仿宋" w:eastAsia="仿宋"/>
          <w:sz w:val="32"/>
        </w:rPr>
        <w:t>改善和盘活利用</w:t>
      </w:r>
      <w:r>
        <w:rPr>
          <w:rFonts w:ascii="仿宋" w:hAnsi="仿宋" w:eastAsia="仿宋"/>
          <w:sz w:val="32"/>
        </w:rPr>
        <w:t>存量</w:t>
      </w:r>
      <w:r>
        <w:rPr>
          <w:rFonts w:hint="eastAsia" w:ascii="仿宋" w:hAnsi="仿宋" w:eastAsia="仿宋"/>
          <w:sz w:val="32"/>
        </w:rPr>
        <w:t>建设用地</w:t>
      </w:r>
      <w:r>
        <w:rPr>
          <w:rFonts w:ascii="仿宋" w:hAnsi="仿宋" w:eastAsia="仿宋"/>
          <w:sz w:val="32"/>
        </w:rPr>
        <w:t>为主，新增</w:t>
      </w:r>
      <w:r>
        <w:rPr>
          <w:rFonts w:hint="eastAsia" w:ascii="仿宋" w:hAnsi="仿宋" w:eastAsia="仿宋"/>
          <w:sz w:val="32"/>
        </w:rPr>
        <w:t>建设</w:t>
      </w:r>
      <w:r>
        <w:rPr>
          <w:rFonts w:ascii="仿宋" w:hAnsi="仿宋" w:eastAsia="仿宋"/>
          <w:sz w:val="32"/>
        </w:rPr>
        <w:t>用地主要为落实上位规划传导的</w:t>
      </w:r>
      <w:r>
        <w:rPr>
          <w:rFonts w:hint="eastAsia" w:ascii="仿宋" w:hAnsi="仿宋" w:eastAsia="仿宋"/>
          <w:sz w:val="32"/>
          <w:lang w:eastAsia="zh-CN"/>
        </w:rPr>
        <w:t>一二三产业融合</w:t>
      </w:r>
      <w:r>
        <w:rPr>
          <w:rFonts w:ascii="仿宋" w:hAnsi="仿宋" w:eastAsia="仿宋"/>
          <w:sz w:val="32"/>
        </w:rPr>
        <w:t>项目</w:t>
      </w:r>
      <w:r>
        <w:rPr>
          <w:rFonts w:hint="eastAsia" w:ascii="仿宋" w:hAnsi="仿宋" w:eastAsia="仿宋"/>
          <w:sz w:val="32"/>
        </w:rPr>
        <w:t>主要</w:t>
      </w:r>
      <w:r>
        <w:rPr>
          <w:rFonts w:ascii="仿宋" w:hAnsi="仿宋" w:eastAsia="仿宋"/>
          <w:sz w:val="32"/>
        </w:rPr>
        <w:t>位于</w:t>
      </w:r>
      <w:r>
        <w:rPr>
          <w:rFonts w:hint="eastAsia" w:ascii="仿宋" w:hAnsi="仿宋" w:eastAsia="仿宋"/>
          <w:sz w:val="32"/>
        </w:rPr>
        <w:t>碑后屯，其他局部优化建设用地位于各村庄集中居民点内部，补充小规模便民设施和公共服务设施提供必要的用地空间</w:t>
      </w:r>
      <w:r>
        <w:rPr>
          <w:rFonts w:ascii="仿宋" w:hAnsi="仿宋" w:eastAsia="仿宋"/>
          <w:sz w:val="32"/>
        </w:rPr>
        <w:t>。</w:t>
      </w:r>
    </w:p>
    <w:p w14:paraId="2BEAA2D1">
      <w:pPr>
        <w:spacing w:line="600" w:lineRule="exact"/>
        <w:rPr>
          <w:rFonts w:hint="eastAsia" w:ascii="黑体" w:hAnsi="黑体" w:eastAsia="黑体"/>
          <w:b/>
          <w:bCs/>
          <w:sz w:val="32"/>
        </w:rPr>
      </w:pPr>
      <w:r>
        <w:rPr>
          <w:rFonts w:hint="eastAsia" w:ascii="黑体" w:hAnsi="黑体" w:eastAsia="黑体"/>
          <w:b/>
          <w:bCs/>
          <w:sz w:val="32"/>
        </w:rPr>
        <w:t>三、村域空间发展规划</w:t>
      </w:r>
    </w:p>
    <w:p w14:paraId="5005660E">
      <w:pPr>
        <w:spacing w:line="600" w:lineRule="exact"/>
        <w:ind w:firstLine="640" w:firstLineChars="200"/>
        <w:rPr>
          <w:rFonts w:hint="eastAsia" w:ascii="仿宋" w:hAnsi="仿宋" w:eastAsia="仿宋"/>
          <w:sz w:val="32"/>
        </w:rPr>
      </w:pPr>
      <w:r>
        <w:rPr>
          <w:rFonts w:hint="eastAsia" w:ascii="仿宋" w:hAnsi="仿宋" w:eastAsia="仿宋"/>
          <w:sz w:val="32"/>
        </w:rPr>
        <w:t>1.产业</w:t>
      </w:r>
      <w:r>
        <w:rPr>
          <w:rFonts w:ascii="仿宋" w:hAnsi="仿宋" w:eastAsia="仿宋"/>
          <w:sz w:val="32"/>
        </w:rPr>
        <w:t>发展</w:t>
      </w:r>
    </w:p>
    <w:p w14:paraId="6C734156">
      <w:pPr>
        <w:spacing w:line="600" w:lineRule="exact"/>
        <w:ind w:firstLine="640" w:firstLineChars="200"/>
        <w:rPr>
          <w:rFonts w:hint="eastAsia" w:ascii="仿宋" w:hAnsi="仿宋" w:eastAsia="仿宋"/>
          <w:sz w:val="32"/>
        </w:rPr>
      </w:pPr>
      <w:r>
        <w:rPr>
          <w:rFonts w:hint="eastAsia" w:ascii="仿宋" w:hAnsi="仿宋" w:eastAsia="仿宋"/>
          <w:sz w:val="32"/>
        </w:rPr>
        <w:t>结合自然资源、特色产业优势和现状产业基础，崔店村产业发展以软枣等特色农业种植为主导，精准提升果蔬产品粗加工为辅助，辅助发展乡村观光旅游服务业为引领。形成依靠第二、第三产业服务第一产业、一二三产联动升级的产业发展模式。</w:t>
      </w:r>
    </w:p>
    <w:p w14:paraId="496C7B1B">
      <w:pPr>
        <w:spacing w:line="600" w:lineRule="exact"/>
        <w:ind w:firstLine="640" w:firstLineChars="200"/>
        <w:rPr>
          <w:rFonts w:hint="eastAsia" w:ascii="仿宋" w:hAnsi="仿宋" w:eastAsia="仿宋"/>
          <w:sz w:val="32"/>
        </w:rPr>
      </w:pPr>
      <w:r>
        <w:rPr>
          <w:rFonts w:hint="eastAsia" w:ascii="仿宋" w:hAnsi="仿宋" w:eastAsia="仿宋"/>
          <w:sz w:val="32"/>
        </w:rPr>
        <w:t>2.空间</w:t>
      </w:r>
      <w:r>
        <w:rPr>
          <w:rFonts w:ascii="仿宋" w:hAnsi="仿宋" w:eastAsia="仿宋"/>
          <w:sz w:val="32"/>
        </w:rPr>
        <w:t>发展布局</w:t>
      </w:r>
    </w:p>
    <w:p w14:paraId="7317AFC6">
      <w:pPr>
        <w:spacing w:line="600" w:lineRule="exact"/>
        <w:ind w:firstLine="640" w:firstLineChars="200"/>
        <w:rPr>
          <w:rFonts w:hint="eastAsia" w:ascii="仿宋" w:hAnsi="仿宋" w:eastAsia="仿宋"/>
          <w:sz w:val="32"/>
        </w:rPr>
      </w:pPr>
      <w:r>
        <w:rPr>
          <w:rFonts w:hint="eastAsia" w:ascii="仿宋" w:hAnsi="仿宋" w:eastAsia="仿宋"/>
          <w:sz w:val="32"/>
        </w:rPr>
        <w:t>规划构建崔店村“一核、一轴、三区、多组团”的空间发展格局。</w:t>
      </w:r>
    </w:p>
    <w:p w14:paraId="39D63211">
      <w:pPr>
        <w:spacing w:line="600" w:lineRule="exact"/>
        <w:ind w:firstLine="640" w:firstLineChars="200"/>
        <w:rPr>
          <w:rFonts w:hint="eastAsia" w:ascii="仿宋" w:hAnsi="仿宋" w:eastAsia="仿宋"/>
          <w:sz w:val="32"/>
        </w:rPr>
      </w:pPr>
      <w:r>
        <w:rPr>
          <w:rFonts w:hint="eastAsia" w:ascii="仿宋" w:hAnsi="仿宋" w:eastAsia="仿宋"/>
          <w:sz w:val="32"/>
        </w:rPr>
        <w:t>一核：公共服务核心，以中部高炉屯为核心，打造村庄公共服务核心。</w:t>
      </w:r>
    </w:p>
    <w:p w14:paraId="47417EDF">
      <w:pPr>
        <w:spacing w:line="600" w:lineRule="exact"/>
        <w:ind w:firstLine="640" w:firstLineChars="200"/>
        <w:rPr>
          <w:rFonts w:hint="eastAsia" w:ascii="仿宋" w:hAnsi="仿宋" w:eastAsia="仿宋"/>
          <w:sz w:val="32"/>
        </w:rPr>
      </w:pPr>
      <w:r>
        <w:rPr>
          <w:rFonts w:hint="eastAsia" w:ascii="仿宋" w:hAnsi="仿宋" w:eastAsia="仿宋"/>
          <w:sz w:val="32"/>
        </w:rPr>
        <w:t>一轴：乡村建设发展轴，沿崔桂线串联各自然屯，形成乡村建设发展轴。</w:t>
      </w:r>
    </w:p>
    <w:p w14:paraId="29606988">
      <w:pPr>
        <w:spacing w:line="600" w:lineRule="exact"/>
        <w:ind w:firstLine="640" w:firstLineChars="200"/>
        <w:rPr>
          <w:rFonts w:ascii="仿宋" w:hAnsi="仿宋" w:eastAsia="仿宋"/>
          <w:sz w:val="32"/>
        </w:rPr>
      </w:pPr>
      <w:r>
        <w:rPr>
          <w:rFonts w:hint="eastAsia" w:ascii="仿宋" w:hAnsi="仿宋" w:eastAsia="仿宋"/>
          <w:sz w:val="32"/>
        </w:rPr>
        <w:t>三区：在村域中部相对平缓区域，结合现状生产条件和资源禀赋，形成三大农业发展区。西部复合农业发展区，发挥山、水、果、林优势，发展特色沟域经济；中部休闲农业发展区，发挥交通优势、软枣种植基础，适度发展农业休闲旅游；东部依靠山林田园生态基底，发展生态农业。</w:t>
      </w:r>
    </w:p>
    <w:p w14:paraId="3210929B">
      <w:pPr>
        <w:spacing w:line="600" w:lineRule="exact"/>
        <w:ind w:firstLine="640" w:firstLineChars="200"/>
        <w:rPr>
          <w:rFonts w:hint="eastAsia" w:ascii="仿宋" w:hAnsi="仿宋" w:eastAsia="仿宋"/>
          <w:sz w:val="32"/>
        </w:rPr>
      </w:pPr>
      <w:r>
        <w:rPr>
          <w:rFonts w:hint="eastAsia" w:ascii="仿宋" w:hAnsi="仿宋" w:eastAsia="仿宋"/>
          <w:sz w:val="32"/>
        </w:rPr>
        <w:t>生态农业发展区、休闲农业发展区、复合农业</w:t>
      </w:r>
    </w:p>
    <w:p w14:paraId="72BD43FF">
      <w:pPr>
        <w:spacing w:line="600" w:lineRule="exact"/>
        <w:ind w:firstLine="640" w:firstLineChars="200"/>
        <w:rPr>
          <w:rFonts w:hint="eastAsia" w:ascii="仿宋" w:hAnsi="仿宋" w:eastAsia="仿宋"/>
          <w:sz w:val="32"/>
        </w:rPr>
      </w:pPr>
      <w:r>
        <w:rPr>
          <w:rFonts w:hint="eastAsia" w:ascii="仿宋" w:hAnsi="仿宋" w:eastAsia="仿宋"/>
          <w:sz w:val="32"/>
        </w:rPr>
        <w:t>多组团：依托周围生态山体，围绕建设发展轴及各类农业发展区，形成多个生态涵养组团，作为生态保障和景观背景。</w:t>
      </w:r>
    </w:p>
    <w:p w14:paraId="5B115329">
      <w:pPr>
        <w:spacing w:line="600" w:lineRule="exact"/>
        <w:ind w:firstLine="640" w:firstLineChars="200"/>
        <w:rPr>
          <w:rFonts w:hint="eastAsia" w:ascii="仿宋" w:hAnsi="仿宋" w:eastAsia="仿宋"/>
          <w:sz w:val="32"/>
        </w:rPr>
      </w:pPr>
      <w:r>
        <w:rPr>
          <w:rFonts w:hint="eastAsia" w:ascii="仿宋" w:hAnsi="仿宋" w:eastAsia="仿宋"/>
          <w:sz w:val="32"/>
        </w:rPr>
        <w:t>3.人口规模</w:t>
      </w:r>
    </w:p>
    <w:p w14:paraId="224A2078">
      <w:pPr>
        <w:spacing w:line="600" w:lineRule="exact"/>
        <w:ind w:firstLine="640" w:firstLineChars="200"/>
        <w:rPr>
          <w:rFonts w:hint="eastAsia" w:ascii="仿宋" w:hAnsi="仿宋" w:eastAsia="仿宋"/>
          <w:sz w:val="32"/>
        </w:rPr>
      </w:pPr>
      <w:r>
        <w:rPr>
          <w:rFonts w:hint="eastAsia" w:ascii="仿宋" w:hAnsi="仿宋" w:eastAsia="仿宋"/>
          <w:sz w:val="32"/>
        </w:rPr>
        <w:t>根据上位规划，崔店村属于城郊融合类村庄，</w:t>
      </w:r>
      <w:r>
        <w:rPr>
          <w:rFonts w:ascii="仿宋" w:hAnsi="仿宋" w:eastAsia="仿宋"/>
          <w:sz w:val="32"/>
        </w:rPr>
        <w:t>至规划期末203</w:t>
      </w:r>
      <w:r>
        <w:rPr>
          <w:rFonts w:hint="eastAsia" w:ascii="仿宋" w:hAnsi="仿宋" w:eastAsia="仿宋"/>
          <w:sz w:val="32"/>
        </w:rPr>
        <w:t>5</w:t>
      </w:r>
      <w:r>
        <w:rPr>
          <w:rFonts w:ascii="仿宋" w:hAnsi="仿宋" w:eastAsia="仿宋"/>
          <w:sz w:val="32"/>
        </w:rPr>
        <w:t>年，常住人口估算约</w:t>
      </w:r>
      <w:r>
        <w:rPr>
          <w:rFonts w:hint="eastAsia" w:ascii="仿宋" w:hAnsi="仿宋" w:eastAsia="仿宋"/>
          <w:sz w:val="32"/>
        </w:rPr>
        <w:t>16</w:t>
      </w:r>
      <w:r>
        <w:rPr>
          <w:rFonts w:ascii="仿宋" w:hAnsi="仿宋" w:eastAsia="仿宋"/>
          <w:sz w:val="32"/>
        </w:rPr>
        <w:t>00人</w:t>
      </w:r>
      <w:r>
        <w:rPr>
          <w:rFonts w:hint="eastAsia" w:ascii="仿宋" w:hAnsi="仿宋" w:eastAsia="仿宋"/>
          <w:sz w:val="32"/>
        </w:rPr>
        <w:t>，</w:t>
      </w:r>
      <w:r>
        <w:rPr>
          <w:rFonts w:ascii="仿宋" w:hAnsi="仿宋" w:eastAsia="仿宋"/>
          <w:sz w:val="32"/>
        </w:rPr>
        <w:t>户籍人口</w:t>
      </w:r>
      <w:r>
        <w:rPr>
          <w:rFonts w:hint="eastAsia" w:ascii="仿宋" w:hAnsi="仿宋" w:eastAsia="仿宋"/>
          <w:sz w:val="32"/>
        </w:rPr>
        <w:t>估算</w:t>
      </w:r>
      <w:r>
        <w:rPr>
          <w:rFonts w:ascii="仿宋" w:hAnsi="仿宋" w:eastAsia="仿宋"/>
          <w:sz w:val="32"/>
        </w:rPr>
        <w:t>约</w:t>
      </w:r>
      <w:r>
        <w:rPr>
          <w:rFonts w:hint="eastAsia" w:ascii="仿宋" w:hAnsi="仿宋" w:eastAsia="仿宋"/>
          <w:sz w:val="32"/>
        </w:rPr>
        <w:t>2700</w:t>
      </w:r>
      <w:r>
        <w:rPr>
          <w:rFonts w:ascii="仿宋" w:hAnsi="仿宋" w:eastAsia="仿宋"/>
          <w:sz w:val="32"/>
        </w:rPr>
        <w:t>人。</w:t>
      </w:r>
    </w:p>
    <w:p w14:paraId="7242CCFE">
      <w:pPr>
        <w:spacing w:line="600" w:lineRule="exact"/>
        <w:rPr>
          <w:rFonts w:hint="eastAsia" w:ascii="黑体" w:hAnsi="黑体" w:eastAsia="黑体"/>
          <w:b/>
          <w:bCs/>
          <w:sz w:val="32"/>
        </w:rPr>
      </w:pPr>
      <w:r>
        <w:rPr>
          <w:rFonts w:hint="eastAsia" w:ascii="黑体" w:hAnsi="黑体" w:eastAsia="黑体"/>
          <w:b/>
          <w:bCs/>
          <w:sz w:val="32"/>
        </w:rPr>
        <w:t>四、人居环境整治规划</w:t>
      </w:r>
    </w:p>
    <w:p w14:paraId="4CBB0ED3">
      <w:pPr>
        <w:spacing w:line="600" w:lineRule="exact"/>
        <w:ind w:firstLine="640" w:firstLineChars="200"/>
        <w:rPr>
          <w:rFonts w:hint="eastAsia" w:ascii="仿宋" w:hAnsi="仿宋" w:eastAsia="仿宋"/>
          <w:sz w:val="32"/>
        </w:rPr>
      </w:pPr>
      <w:r>
        <w:rPr>
          <w:rFonts w:hint="eastAsia" w:ascii="仿宋" w:hAnsi="仿宋" w:eastAsia="仿宋"/>
          <w:sz w:val="32"/>
        </w:rPr>
        <w:t>基于小集中、大分散的村庄建设用地布局，</w:t>
      </w:r>
      <w:r>
        <w:rPr>
          <w:rFonts w:ascii="仿宋" w:hAnsi="仿宋" w:eastAsia="仿宋"/>
          <w:sz w:val="32"/>
        </w:rPr>
        <w:t>结合农民生</w:t>
      </w:r>
      <w:r>
        <w:rPr>
          <w:rFonts w:hint="eastAsia" w:ascii="仿宋" w:hAnsi="仿宋" w:eastAsia="仿宋"/>
          <w:sz w:val="32"/>
        </w:rPr>
        <w:t>产</w:t>
      </w:r>
      <w:r>
        <w:rPr>
          <w:rFonts w:ascii="仿宋" w:hAnsi="仿宋" w:eastAsia="仿宋"/>
          <w:sz w:val="32"/>
        </w:rPr>
        <w:t>生活</w:t>
      </w:r>
      <w:r>
        <w:rPr>
          <w:rFonts w:hint="eastAsia" w:ascii="仿宋" w:hAnsi="仿宋" w:eastAsia="仿宋"/>
          <w:sz w:val="32"/>
        </w:rPr>
        <w:t>方式，从公共设施完善、公用设施布局、防灾减灾设施补齐、景观风貌和建筑风貌优化等角度对村庄人居环境进行规划设计</w:t>
      </w:r>
      <w:r>
        <w:rPr>
          <w:rFonts w:ascii="仿宋" w:hAnsi="仿宋" w:eastAsia="仿宋"/>
          <w:sz w:val="32"/>
        </w:rPr>
        <w:t>。</w:t>
      </w:r>
    </w:p>
    <w:p w14:paraId="1108212B">
      <w:pPr>
        <w:spacing w:line="600" w:lineRule="exact"/>
        <w:rPr>
          <w:rFonts w:hint="eastAsia" w:ascii="黑体" w:hAnsi="黑体" w:eastAsia="黑体"/>
          <w:b/>
          <w:bCs/>
          <w:sz w:val="32"/>
        </w:rPr>
      </w:pPr>
      <w:r>
        <w:rPr>
          <w:rFonts w:hint="eastAsia" w:ascii="黑体" w:hAnsi="黑体" w:eastAsia="黑体"/>
          <w:b/>
          <w:bCs/>
          <w:sz w:val="32"/>
        </w:rPr>
        <w:t>五、近期整治</w:t>
      </w:r>
      <w:r>
        <w:rPr>
          <w:rFonts w:ascii="黑体" w:hAnsi="黑体" w:eastAsia="黑体"/>
          <w:b/>
          <w:bCs/>
          <w:sz w:val="32"/>
        </w:rPr>
        <w:t>规划</w:t>
      </w:r>
    </w:p>
    <w:p w14:paraId="13D2E66E">
      <w:pPr>
        <w:spacing w:line="600" w:lineRule="exact"/>
        <w:ind w:firstLine="640" w:firstLineChars="200"/>
        <w:rPr>
          <w:rFonts w:hint="eastAsia" w:ascii="仿宋" w:hAnsi="仿宋" w:eastAsia="仿宋"/>
          <w:sz w:val="32"/>
        </w:rPr>
        <w:sectPr>
          <w:footerReference r:id="rId3" w:type="default"/>
          <w:pgSz w:w="11906" w:h="16838"/>
          <w:pgMar w:top="1418" w:right="1701" w:bottom="1418" w:left="1701" w:header="851" w:footer="992" w:gutter="0"/>
          <w:cols w:space="425" w:num="1"/>
          <w:docGrid w:type="lines" w:linePitch="312" w:charSpace="0"/>
        </w:sectPr>
      </w:pPr>
      <w:r>
        <w:rPr>
          <w:rFonts w:hint="eastAsia" w:ascii="仿宋" w:hAnsi="仿宋" w:eastAsia="仿宋"/>
          <w:sz w:val="32"/>
        </w:rPr>
        <w:t>近期投资以道路设施、公用设施和公共设施的完善为主。重点完善村干路的硬化维修</w:t>
      </w:r>
      <w:bookmarkStart w:id="0" w:name="_GoBack"/>
      <w:r>
        <w:rPr>
          <w:rFonts w:hint="eastAsia" w:ascii="仿宋" w:hAnsi="仿宋" w:eastAsia="仿宋"/>
          <w:sz w:val="32"/>
          <w:lang w:eastAsia="zh-CN"/>
        </w:rPr>
        <w:t>及</w:t>
      </w:r>
      <w:bookmarkEnd w:id="0"/>
      <w:r>
        <w:rPr>
          <w:rFonts w:hint="eastAsia" w:ascii="仿宋" w:hAnsi="仿宋" w:eastAsia="仿宋"/>
          <w:sz w:val="32"/>
        </w:rPr>
        <w:t>亮化和绿化补充，对村民社区生活服务设施进行提质、升级。围绕特色保护类村庄发展诉求，结合村委会建设老年人服务设施、文体活动设施、旅游服务设施及停车设施，结合相对集中居民点和主要道路交叉口附近建设休闲广场和便民农家店。</w:t>
      </w:r>
    </w:p>
    <w:p w14:paraId="49F3CBB7">
      <w:pPr>
        <w:rPr>
          <w:rFonts w:hint="eastAsia" w:ascii="黑体" w:hAnsi="黑体" w:eastAsia="黑体"/>
          <w:b/>
          <w:bCs/>
          <w:sz w:val="32"/>
        </w:rPr>
      </w:pPr>
      <w:r>
        <w:rPr>
          <w:rFonts w:hint="eastAsia" w:ascii="黑体" w:hAnsi="黑体" w:eastAsia="黑体"/>
          <w:b/>
          <w:bCs/>
          <w:sz w:val="32"/>
        </w:rPr>
        <w:t>六、附图</w:t>
      </w:r>
    </w:p>
    <w:p w14:paraId="28DB0D6A">
      <w:pPr>
        <w:spacing w:line="400" w:lineRule="exact"/>
        <w:rPr>
          <w:rFonts w:hint="eastAsia" w:ascii="仿宋" w:hAnsi="仿宋" w:eastAsia="仿宋"/>
          <w:sz w:val="28"/>
          <w:szCs w:val="28"/>
        </w:rPr>
      </w:pPr>
      <w:r>
        <w:rPr>
          <w:rFonts w:hint="eastAsia" w:ascii="仿宋" w:hAnsi="仿宋" w:eastAsia="仿宋"/>
          <w:sz w:val="28"/>
          <w:szCs w:val="28"/>
        </w:rPr>
        <w:t>1.区位示意图</w:t>
      </w:r>
    </w:p>
    <w:p w14:paraId="1E9A74FF">
      <w:pPr>
        <w:jc w:val="center"/>
        <w:rPr>
          <w:rFonts w:hint="eastAsia" w:ascii="仿宋" w:hAnsi="仿宋" w:eastAsia="仿宋"/>
          <w:sz w:val="28"/>
          <w:szCs w:val="28"/>
        </w:rPr>
      </w:pPr>
      <w:r>
        <w:drawing>
          <wp:inline distT="0" distB="0" distL="0" distR="0">
            <wp:extent cx="5400040" cy="3822065"/>
            <wp:effectExtent l="0" t="0" r="0" b="6985"/>
            <wp:docPr id="6136195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19529"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400040" cy="3822065"/>
                    </a:xfrm>
                    <a:prstGeom prst="rect">
                      <a:avLst/>
                    </a:prstGeom>
                    <a:noFill/>
                    <a:ln>
                      <a:noFill/>
                    </a:ln>
                  </pic:spPr>
                </pic:pic>
              </a:graphicData>
            </a:graphic>
          </wp:inline>
        </w:drawing>
      </w:r>
    </w:p>
    <w:p w14:paraId="51CF5F22">
      <w:pPr>
        <w:spacing w:line="400" w:lineRule="exact"/>
        <w:rPr>
          <w:rFonts w:ascii="仿宋" w:hAnsi="仿宋" w:eastAsia="仿宋"/>
          <w:sz w:val="28"/>
          <w:szCs w:val="28"/>
        </w:rPr>
      </w:pPr>
      <w:r>
        <w:rPr>
          <w:rFonts w:hint="eastAsia" w:ascii="仿宋" w:hAnsi="仿宋" w:eastAsia="仿宋"/>
          <w:sz w:val="28"/>
          <w:szCs w:val="28"/>
        </w:rPr>
        <w:t>2.边界划定与管控图</w:t>
      </w:r>
    </w:p>
    <w:p w14:paraId="7CB9CB24">
      <w:pPr>
        <w:rPr>
          <w:rFonts w:hint="eastAsia" w:ascii="仿宋" w:hAnsi="仿宋" w:eastAsia="仿宋"/>
          <w:sz w:val="28"/>
          <w:szCs w:val="28"/>
        </w:rPr>
      </w:pPr>
      <w:r>
        <w:drawing>
          <wp:inline distT="0" distB="0" distL="0" distR="0">
            <wp:extent cx="5400040" cy="3822065"/>
            <wp:effectExtent l="0" t="0" r="0" b="6985"/>
            <wp:docPr id="13335925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92546"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400040" cy="3822065"/>
                    </a:xfrm>
                    <a:prstGeom prst="rect">
                      <a:avLst/>
                    </a:prstGeom>
                    <a:noFill/>
                    <a:ln>
                      <a:noFill/>
                    </a:ln>
                  </pic:spPr>
                </pic:pic>
              </a:graphicData>
            </a:graphic>
          </wp:inline>
        </w:drawing>
      </w:r>
    </w:p>
    <w:p w14:paraId="170F9BE5">
      <w:pPr>
        <w:jc w:val="center"/>
        <w:rPr>
          <w:rFonts w:hint="eastAsia" w:ascii="仿宋" w:hAnsi="仿宋" w:eastAsia="仿宋"/>
          <w:sz w:val="28"/>
          <w:szCs w:val="28"/>
        </w:rPr>
      </w:pPr>
    </w:p>
    <w:p w14:paraId="26872977">
      <w:pPr>
        <w:spacing w:line="400" w:lineRule="exact"/>
        <w:rPr>
          <w:rFonts w:hint="eastAsia" w:ascii="仿宋" w:hAnsi="仿宋" w:eastAsia="仿宋"/>
          <w:sz w:val="28"/>
          <w:szCs w:val="28"/>
        </w:rPr>
      </w:pPr>
      <w:r>
        <w:rPr>
          <w:rFonts w:hint="eastAsia" w:ascii="仿宋" w:hAnsi="仿宋" w:eastAsia="仿宋"/>
          <w:sz w:val="28"/>
          <w:szCs w:val="28"/>
        </w:rPr>
        <w:t>3</w:t>
      </w:r>
      <w:r>
        <w:rPr>
          <w:rFonts w:ascii="仿宋" w:hAnsi="仿宋" w:eastAsia="仿宋"/>
          <w:sz w:val="28"/>
          <w:szCs w:val="28"/>
        </w:rPr>
        <w:t>.</w:t>
      </w:r>
      <w:r>
        <w:rPr>
          <w:rFonts w:hint="eastAsia" w:ascii="仿宋" w:hAnsi="仿宋" w:eastAsia="仿宋"/>
          <w:sz w:val="28"/>
          <w:szCs w:val="28"/>
        </w:rPr>
        <w:t>村域国土空间规划图</w:t>
      </w:r>
    </w:p>
    <w:p w14:paraId="446BC0DF">
      <w:pPr>
        <w:jc w:val="center"/>
        <w:rPr>
          <w:rFonts w:ascii="仿宋" w:hAnsi="仿宋" w:eastAsia="仿宋"/>
          <w:sz w:val="28"/>
          <w:szCs w:val="28"/>
        </w:rPr>
      </w:pPr>
      <w:r>
        <w:drawing>
          <wp:inline distT="0" distB="0" distL="0" distR="0">
            <wp:extent cx="5400040" cy="3822065"/>
            <wp:effectExtent l="0" t="0" r="0" b="6985"/>
            <wp:docPr id="17659528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52837"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400040" cy="3822065"/>
                    </a:xfrm>
                    <a:prstGeom prst="rect">
                      <a:avLst/>
                    </a:prstGeom>
                    <a:noFill/>
                    <a:ln>
                      <a:noFill/>
                    </a:ln>
                  </pic:spPr>
                </pic:pic>
              </a:graphicData>
            </a:graphic>
          </wp:inline>
        </w:drawing>
      </w:r>
    </w:p>
    <w:p w14:paraId="48509CBF">
      <w:pPr>
        <w:spacing w:line="400" w:lineRule="exact"/>
        <w:rPr>
          <w:rFonts w:hint="eastAsia" w:ascii="仿宋" w:hAnsi="仿宋" w:eastAsia="仿宋"/>
          <w:sz w:val="28"/>
          <w:szCs w:val="28"/>
        </w:rPr>
      </w:pPr>
      <w:r>
        <w:rPr>
          <w:rFonts w:hint="eastAsia" w:ascii="仿宋" w:hAnsi="仿宋" w:eastAsia="仿宋"/>
          <w:sz w:val="28"/>
          <w:szCs w:val="28"/>
        </w:rPr>
        <w:t>4</w:t>
      </w:r>
      <w:r>
        <w:rPr>
          <w:rFonts w:ascii="仿宋" w:hAnsi="仿宋" w:eastAsia="仿宋"/>
          <w:sz w:val="28"/>
          <w:szCs w:val="28"/>
        </w:rPr>
        <w:t>.</w:t>
      </w:r>
      <w:r>
        <w:rPr>
          <w:rFonts w:hint="eastAsia" w:ascii="仿宋" w:hAnsi="仿宋" w:eastAsia="仿宋"/>
          <w:sz w:val="28"/>
          <w:szCs w:val="28"/>
        </w:rPr>
        <w:t>产业空间发展指引图</w:t>
      </w:r>
    </w:p>
    <w:p w14:paraId="22D67DC8">
      <w:pPr>
        <w:jc w:val="center"/>
        <w:rPr>
          <w:rFonts w:hint="eastAsia" w:ascii="仿宋" w:hAnsi="仿宋" w:eastAsia="仿宋"/>
          <w:sz w:val="28"/>
          <w:szCs w:val="28"/>
        </w:rPr>
      </w:pPr>
      <w:r>
        <w:drawing>
          <wp:inline distT="0" distB="0" distL="0" distR="0">
            <wp:extent cx="5400040" cy="3822065"/>
            <wp:effectExtent l="0" t="0" r="0" b="6985"/>
            <wp:docPr id="101122500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25005" name="图片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400040" cy="3822065"/>
                    </a:xfrm>
                    <a:prstGeom prst="rect">
                      <a:avLst/>
                    </a:prstGeom>
                    <a:noFill/>
                    <a:ln>
                      <a:noFill/>
                    </a:ln>
                  </pic:spPr>
                </pic:pic>
              </a:graphicData>
            </a:graphic>
          </wp:inline>
        </w:drawing>
      </w:r>
    </w:p>
    <w:p w14:paraId="483ED572">
      <w:pPr>
        <w:jc w:val="center"/>
        <w:rPr>
          <w:rFonts w:hint="eastAsia" w:ascii="仿宋" w:hAnsi="仿宋" w:eastAsia="仿宋"/>
          <w:sz w:val="28"/>
          <w:szCs w:val="28"/>
        </w:rPr>
      </w:pPr>
    </w:p>
    <w:p w14:paraId="1E9BB7A7">
      <w:pPr>
        <w:spacing w:line="400" w:lineRule="exact"/>
        <w:rPr>
          <w:rFonts w:hint="eastAsia" w:ascii="仿宋" w:hAnsi="仿宋" w:eastAsia="仿宋"/>
          <w:sz w:val="28"/>
          <w:szCs w:val="28"/>
        </w:rPr>
      </w:pPr>
      <w:r>
        <w:rPr>
          <w:rFonts w:hint="eastAsia" w:ascii="仿宋" w:hAnsi="仿宋" w:eastAsia="仿宋"/>
          <w:sz w:val="28"/>
          <w:szCs w:val="28"/>
        </w:rPr>
        <w:t>5.村庄设计与风貌引导图</w:t>
      </w:r>
    </w:p>
    <w:p w14:paraId="53F0B008">
      <w:pPr>
        <w:jc w:val="center"/>
        <w:rPr>
          <w:rFonts w:hint="eastAsia" w:ascii="仿宋" w:hAnsi="仿宋" w:eastAsia="仿宋"/>
          <w:sz w:val="28"/>
          <w:szCs w:val="28"/>
        </w:rPr>
      </w:pPr>
      <w:r>
        <w:drawing>
          <wp:inline distT="0" distB="0" distL="0" distR="0">
            <wp:extent cx="5400040" cy="3822065"/>
            <wp:effectExtent l="0" t="0" r="0" b="6985"/>
            <wp:docPr id="135181818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18185"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00040" cy="3822065"/>
                    </a:xfrm>
                    <a:prstGeom prst="rect">
                      <a:avLst/>
                    </a:prstGeom>
                    <a:noFill/>
                    <a:ln>
                      <a:noFill/>
                    </a:ln>
                  </pic:spPr>
                </pic:pic>
              </a:graphicData>
            </a:graphic>
          </wp:inline>
        </w:drawing>
      </w:r>
    </w:p>
    <w:p w14:paraId="74D2FA5C">
      <w:pPr>
        <w:spacing w:line="400" w:lineRule="exact"/>
        <w:rPr>
          <w:rFonts w:hint="eastAsia" w:ascii="仿宋" w:hAnsi="仿宋" w:eastAsia="仿宋"/>
          <w:sz w:val="28"/>
          <w:szCs w:val="28"/>
        </w:rPr>
      </w:pPr>
      <w:r>
        <w:rPr>
          <w:rFonts w:hint="eastAsia" w:ascii="仿宋" w:hAnsi="仿宋" w:eastAsia="仿宋"/>
          <w:sz w:val="28"/>
          <w:szCs w:val="28"/>
        </w:rPr>
        <w:t>6.重要居民点规划设计图</w:t>
      </w:r>
    </w:p>
    <w:p w14:paraId="640E8736">
      <w:pPr>
        <w:jc w:val="center"/>
        <w:rPr>
          <w:rFonts w:hint="eastAsia" w:ascii="仿宋" w:hAnsi="仿宋" w:eastAsia="仿宋"/>
          <w:sz w:val="28"/>
          <w:szCs w:val="28"/>
        </w:rPr>
      </w:pPr>
      <w:r>
        <w:drawing>
          <wp:inline distT="0" distB="0" distL="0" distR="0">
            <wp:extent cx="5400040" cy="3822065"/>
            <wp:effectExtent l="0" t="0" r="0" b="6985"/>
            <wp:docPr id="156137019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70193"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400040" cy="3822065"/>
                    </a:xfrm>
                    <a:prstGeom prst="rect">
                      <a:avLst/>
                    </a:prstGeom>
                    <a:noFill/>
                    <a:ln>
                      <a:noFill/>
                    </a:ln>
                  </pic:spPr>
                </pic:pic>
              </a:graphicData>
            </a:graphic>
          </wp:inline>
        </w:drawing>
      </w:r>
    </w:p>
    <w:sectPr>
      <w:pgSz w:w="11906" w:h="16838"/>
      <w:pgMar w:top="1418" w:right="1701" w:bottom="1418"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0FE83">
    <w:pPr>
      <w:pStyle w:val="3"/>
      <w:spacing w:before="0" w:line="14" w:lineRule="auto"/>
      <w:ind w:left="0"/>
      <w:rPr>
        <w:rFonts w:hint="eastAsia"/>
        <w:sz w:val="20"/>
      </w:rPr>
    </w:pPr>
    <w:r>
      <w:rPr>
        <w:rFonts w:hint="eastAsia"/>
      </w:rPr>
      <w:pict>
        <v:shape id="_x0000_s1025" o:spid="_x0000_s1025" o:spt="202" type="#_x0000_t202" style="position:absolute;left:0pt;margin-left:290.05pt;margin-top:782.4pt;height:11pt;width:15.15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14:paraId="7C072CCE">
                <w:pPr>
                  <w:spacing w:line="203" w:lineRule="exact"/>
                  <w:ind w:left="60"/>
                  <w:rPr>
                    <w:rFonts w:ascii="Calibri"/>
                    <w:sz w:val="18"/>
                  </w:rPr>
                </w:pPr>
                <w:r>
                  <w:fldChar w:fldCharType="begin"/>
                </w:r>
                <w:r>
                  <w:rPr>
                    <w:rFonts w:ascii="Calibri"/>
                    <w:sz w:val="18"/>
                  </w:rPr>
                  <w:instrText xml:space="preserve"> PAGE </w:instrText>
                </w:r>
                <w:r>
                  <w:fldChar w:fldCharType="separate"/>
                </w:r>
                <w:r>
                  <w:t>10</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5F1"/>
    <w:rsid w:val="00005731"/>
    <w:rsid w:val="000078D4"/>
    <w:rsid w:val="000132FF"/>
    <w:rsid w:val="00016EC9"/>
    <w:rsid w:val="0002213B"/>
    <w:rsid w:val="00037C09"/>
    <w:rsid w:val="00075ACB"/>
    <w:rsid w:val="000761E3"/>
    <w:rsid w:val="00081987"/>
    <w:rsid w:val="00085FE4"/>
    <w:rsid w:val="000B2DA3"/>
    <w:rsid w:val="000C1023"/>
    <w:rsid w:val="000C25EF"/>
    <w:rsid w:val="000C3368"/>
    <w:rsid w:val="000E3015"/>
    <w:rsid w:val="00106202"/>
    <w:rsid w:val="00150299"/>
    <w:rsid w:val="00170F6F"/>
    <w:rsid w:val="00181F81"/>
    <w:rsid w:val="001B3C1B"/>
    <w:rsid w:val="001D6203"/>
    <w:rsid w:val="001E58AB"/>
    <w:rsid w:val="001F1686"/>
    <w:rsid w:val="0021640C"/>
    <w:rsid w:val="00263FF0"/>
    <w:rsid w:val="002B7DDD"/>
    <w:rsid w:val="002C0D3F"/>
    <w:rsid w:val="002D64AD"/>
    <w:rsid w:val="0030150C"/>
    <w:rsid w:val="00310370"/>
    <w:rsid w:val="00313C6C"/>
    <w:rsid w:val="003174CF"/>
    <w:rsid w:val="0033023D"/>
    <w:rsid w:val="00336035"/>
    <w:rsid w:val="00347267"/>
    <w:rsid w:val="00360ED2"/>
    <w:rsid w:val="00361E5D"/>
    <w:rsid w:val="00370E15"/>
    <w:rsid w:val="003C72C4"/>
    <w:rsid w:val="003D5A08"/>
    <w:rsid w:val="00401416"/>
    <w:rsid w:val="00402145"/>
    <w:rsid w:val="004110D3"/>
    <w:rsid w:val="00411244"/>
    <w:rsid w:val="0041771C"/>
    <w:rsid w:val="0043481C"/>
    <w:rsid w:val="00464F28"/>
    <w:rsid w:val="004A079F"/>
    <w:rsid w:val="004B57B7"/>
    <w:rsid w:val="004C5524"/>
    <w:rsid w:val="004C7E13"/>
    <w:rsid w:val="004E6C3C"/>
    <w:rsid w:val="00531D04"/>
    <w:rsid w:val="00562F40"/>
    <w:rsid w:val="005C1C8B"/>
    <w:rsid w:val="005C62BD"/>
    <w:rsid w:val="005E7397"/>
    <w:rsid w:val="005F3EF2"/>
    <w:rsid w:val="00601211"/>
    <w:rsid w:val="00606C07"/>
    <w:rsid w:val="006619DF"/>
    <w:rsid w:val="00662529"/>
    <w:rsid w:val="006B5BFB"/>
    <w:rsid w:val="006C09C0"/>
    <w:rsid w:val="006C3C4C"/>
    <w:rsid w:val="006D2085"/>
    <w:rsid w:val="006E666F"/>
    <w:rsid w:val="006F49DB"/>
    <w:rsid w:val="007051B0"/>
    <w:rsid w:val="0071632A"/>
    <w:rsid w:val="00745CF4"/>
    <w:rsid w:val="00754B5C"/>
    <w:rsid w:val="00767C22"/>
    <w:rsid w:val="00787519"/>
    <w:rsid w:val="007A3525"/>
    <w:rsid w:val="007C1572"/>
    <w:rsid w:val="007D1C42"/>
    <w:rsid w:val="007F57E6"/>
    <w:rsid w:val="00801908"/>
    <w:rsid w:val="0080215F"/>
    <w:rsid w:val="008433F1"/>
    <w:rsid w:val="00847054"/>
    <w:rsid w:val="00852553"/>
    <w:rsid w:val="00867AB3"/>
    <w:rsid w:val="00891569"/>
    <w:rsid w:val="008A1D5C"/>
    <w:rsid w:val="008B69C8"/>
    <w:rsid w:val="008C618B"/>
    <w:rsid w:val="008D022A"/>
    <w:rsid w:val="008D6D7F"/>
    <w:rsid w:val="008F06BE"/>
    <w:rsid w:val="008F1BAC"/>
    <w:rsid w:val="00926B25"/>
    <w:rsid w:val="009A6FE9"/>
    <w:rsid w:val="009D140A"/>
    <w:rsid w:val="009D168E"/>
    <w:rsid w:val="009D2593"/>
    <w:rsid w:val="009D5874"/>
    <w:rsid w:val="009F271E"/>
    <w:rsid w:val="00AA25D4"/>
    <w:rsid w:val="00AA37ED"/>
    <w:rsid w:val="00AA382E"/>
    <w:rsid w:val="00AB1B50"/>
    <w:rsid w:val="00AC05F1"/>
    <w:rsid w:val="00AD69E9"/>
    <w:rsid w:val="00B21049"/>
    <w:rsid w:val="00B53A03"/>
    <w:rsid w:val="00B54DB1"/>
    <w:rsid w:val="00B758FE"/>
    <w:rsid w:val="00BA4B0E"/>
    <w:rsid w:val="00BB1477"/>
    <w:rsid w:val="00BC21C1"/>
    <w:rsid w:val="00BE1BB0"/>
    <w:rsid w:val="00C04AA4"/>
    <w:rsid w:val="00C354A7"/>
    <w:rsid w:val="00C57539"/>
    <w:rsid w:val="00C81F4B"/>
    <w:rsid w:val="00CA54C8"/>
    <w:rsid w:val="00CB2280"/>
    <w:rsid w:val="00CC17D3"/>
    <w:rsid w:val="00CC7CD3"/>
    <w:rsid w:val="00D26CC5"/>
    <w:rsid w:val="00D31AE8"/>
    <w:rsid w:val="00D84948"/>
    <w:rsid w:val="00D87EBF"/>
    <w:rsid w:val="00DC789F"/>
    <w:rsid w:val="00E40A35"/>
    <w:rsid w:val="00E847F3"/>
    <w:rsid w:val="00E91D19"/>
    <w:rsid w:val="00E93604"/>
    <w:rsid w:val="00E93717"/>
    <w:rsid w:val="00EE7BDF"/>
    <w:rsid w:val="00EF20BC"/>
    <w:rsid w:val="00F0030A"/>
    <w:rsid w:val="00F133EE"/>
    <w:rsid w:val="00F56254"/>
    <w:rsid w:val="00F6579C"/>
    <w:rsid w:val="00F758BF"/>
    <w:rsid w:val="00F76E3F"/>
    <w:rsid w:val="00F801DC"/>
    <w:rsid w:val="00FA01B7"/>
    <w:rsid w:val="00FA0B01"/>
    <w:rsid w:val="00FA74F2"/>
    <w:rsid w:val="00FB0D82"/>
    <w:rsid w:val="00FB257D"/>
    <w:rsid w:val="00FD2EE0"/>
    <w:rsid w:val="00FE138E"/>
    <w:rsid w:val="00FE552E"/>
    <w:rsid w:val="0D740B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4"/>
    <w:basedOn w:val="1"/>
    <w:next w:val="1"/>
    <w:link w:val="13"/>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4"/>
    <w:qFormat/>
    <w:uiPriority w:val="1"/>
    <w:pPr>
      <w:autoSpaceDE w:val="0"/>
      <w:autoSpaceDN w:val="0"/>
      <w:spacing w:before="240"/>
      <w:ind w:left="120"/>
      <w:jc w:val="left"/>
    </w:pPr>
    <w:rPr>
      <w:rFonts w:ascii="仿宋" w:hAnsi="仿宋" w:eastAsia="仿宋" w:cs="仿宋"/>
      <w:kern w:val="0"/>
      <w:sz w:val="30"/>
      <w:szCs w:val="30"/>
      <w:lang w:eastAsia="en-US"/>
    </w:r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10">
    <w:name w:val="页眉 字符"/>
    <w:basedOn w:val="9"/>
    <w:link w:val="6"/>
    <w:qFormat/>
    <w:uiPriority w:val="99"/>
    <w:rPr>
      <w:sz w:val="18"/>
      <w:szCs w:val="18"/>
    </w:rPr>
  </w:style>
  <w:style w:type="character" w:customStyle="1" w:styleId="11">
    <w:name w:val="页脚 字符"/>
    <w:basedOn w:val="9"/>
    <w:link w:val="5"/>
    <w:qFormat/>
    <w:uiPriority w:val="99"/>
    <w:rPr>
      <w:sz w:val="18"/>
      <w:szCs w:val="18"/>
    </w:rPr>
  </w:style>
  <w:style w:type="character" w:customStyle="1" w:styleId="12">
    <w:name w:val="批注框文本 字符"/>
    <w:basedOn w:val="9"/>
    <w:link w:val="4"/>
    <w:semiHidden/>
    <w:qFormat/>
    <w:uiPriority w:val="99"/>
    <w:rPr>
      <w:sz w:val="18"/>
      <w:szCs w:val="18"/>
    </w:rPr>
  </w:style>
  <w:style w:type="character" w:customStyle="1" w:styleId="13">
    <w:name w:val="标题 4 字符"/>
    <w:basedOn w:val="9"/>
    <w:link w:val="2"/>
    <w:qFormat/>
    <w:uiPriority w:val="0"/>
    <w:rPr>
      <w:rFonts w:ascii="Arial" w:hAnsi="Arial" w:eastAsia="黑体" w:cs="Times New Roman"/>
      <w:b/>
      <w:bCs/>
      <w:sz w:val="28"/>
      <w:szCs w:val="28"/>
    </w:rPr>
  </w:style>
  <w:style w:type="character" w:customStyle="1" w:styleId="14">
    <w:name w:val="正文文本 字符"/>
    <w:basedOn w:val="9"/>
    <w:link w:val="3"/>
    <w:qFormat/>
    <w:uiPriority w:val="1"/>
    <w:rPr>
      <w:rFonts w:ascii="仿宋" w:hAnsi="仿宋" w:eastAsia="仿宋" w:cs="仿宋"/>
      <w:kern w:val="0"/>
      <w:sz w:val="30"/>
      <w:szCs w:val="30"/>
      <w:lang w:eastAsia="en-US"/>
    </w:rPr>
  </w:style>
  <w:style w:type="paragraph" w:styleId="15">
    <w:name w:val="List Paragraph"/>
    <w:basedOn w:val="1"/>
    <w:qFormat/>
    <w:uiPriority w:val="1"/>
    <w:pPr>
      <w:autoSpaceDE w:val="0"/>
      <w:autoSpaceDN w:val="0"/>
      <w:spacing w:before="43"/>
      <w:ind w:left="1022" w:hanging="303"/>
      <w:jc w:val="left"/>
    </w:pPr>
    <w:rPr>
      <w:rFonts w:ascii="仿宋" w:hAnsi="仿宋" w:eastAsia="仿宋" w:cs="仿宋"/>
      <w:kern w:val="0"/>
      <w:sz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8A91FC-D365-495A-A4A3-5ED6349CD1C3}">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7</Pages>
  <Words>1827</Words>
  <Characters>1968</Characters>
  <Lines>70</Lines>
  <Paragraphs>81</Paragraphs>
  <TotalTime>205</TotalTime>
  <ScaleCrop>false</ScaleCrop>
  <LinksUpToDate>false</LinksUpToDate>
  <CharactersWithSpaces>1970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2025-10-20T08:18:00Z</dcterms:created>
  <dc:creator>Administrator</dc:creator>
  <cp:lastModifiedBy>圆梦</cp:lastModifiedBy>
  <cp:lastPrinted>2025-10-21T02:03:00Z</cp:lastPrinted>
  <dcterms:modified xsi:type="dcterms:W3CDTF">2025-10-21T02:53:18Z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eyJoZGlkIjoiODE2ZjkzZGQxYWI2ZWUxNTg4YmExOTI1OGFlMjFhN2YiLCJ1c2VySWQiOiIyMDcyMTAwMDcifQ==</vt:lpwstr>
  </property>
  <property fmtid="{D5CDD505-2E9C-101B-9397-08002B2CF9AE}" pid="3" name="KSOProductBuildVer">
    <vt:lpwstr>2052-12.1.0.23125</vt:lpwstr>
  </property>
  <property fmtid="{D5CDD505-2E9C-101B-9397-08002B2CF9AE}" pid="4" name="ICV">
    <vt:lpwstr>259339D1F8C04741A2556B4ED36E6026_13</vt:lpwstr>
  </property>
</Properties>
</file>