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041F9E">
      <w:pPr>
        <w:spacing w:before="107" w:line="209" w:lineRule="auto"/>
        <w:ind w:left="42"/>
        <w:jc w:val="center"/>
        <w:rPr>
          <w:rFonts w:hint="default" w:ascii="Times New Roman" w:hAnsi="Times New Roman" w:eastAsia="方正公文小标宋" w:cs="Times New Roman"/>
          <w:sz w:val="44"/>
          <w:szCs w:val="44"/>
        </w:rPr>
      </w:pPr>
      <w:r>
        <w:rPr>
          <w:rFonts w:hint="default" w:ascii="Times New Roman" w:hAnsi="Times New Roman" w:eastAsia="方正公文小标宋" w:cs="Times New Roman"/>
          <w:sz w:val="44"/>
          <w:szCs w:val="44"/>
        </w:rPr>
        <w:t>《庄</w:t>
      </w:r>
      <w:r>
        <w:rPr>
          <w:rFonts w:hint="default" w:ascii="Times New Roman" w:hAnsi="Times New Roman" w:eastAsia="方正公文小标宋" w:cs="Times New Roman"/>
          <w:sz w:val="44"/>
          <w:szCs w:val="44"/>
          <w:highlight w:val="none"/>
        </w:rPr>
        <w:t>河市</w:t>
      </w:r>
      <w:r>
        <w:rPr>
          <w:rFonts w:hint="default" w:ascii="Times New Roman" w:hAnsi="Times New Roman" w:eastAsia="方正公文小标宋" w:cs="Times New Roman"/>
          <w:sz w:val="44"/>
          <w:szCs w:val="44"/>
          <w:highlight w:val="none"/>
          <w:lang w:val="en-US" w:eastAsia="zh-CN"/>
        </w:rPr>
        <w:t>城山镇洼子村</w:t>
      </w:r>
      <w:r>
        <w:rPr>
          <w:rFonts w:hint="default" w:ascii="Times New Roman" w:hAnsi="Times New Roman" w:eastAsia="方正公文小标宋" w:cs="Times New Roman"/>
          <w:sz w:val="44"/>
          <w:szCs w:val="44"/>
          <w:highlight w:val="none"/>
        </w:rPr>
        <w:t>村</w:t>
      </w:r>
      <w:r>
        <w:rPr>
          <w:rFonts w:hint="default" w:ascii="Times New Roman" w:hAnsi="Times New Roman" w:eastAsia="方正公文小标宋" w:cs="Times New Roman"/>
          <w:sz w:val="44"/>
          <w:szCs w:val="44"/>
        </w:rPr>
        <w:t>庄规划</w:t>
      </w:r>
    </w:p>
    <w:p w14:paraId="7467C7F2">
      <w:pPr>
        <w:spacing w:before="107" w:line="209" w:lineRule="auto"/>
        <w:ind w:left="42"/>
        <w:jc w:val="center"/>
        <w:rPr>
          <w:rFonts w:hint="default" w:ascii="Times New Roman" w:hAnsi="Times New Roman" w:eastAsia="方正公文小标宋" w:cs="Times New Roman"/>
          <w:sz w:val="44"/>
          <w:szCs w:val="44"/>
        </w:rPr>
      </w:pPr>
      <w:bookmarkStart w:id="0" w:name="_GoBack"/>
      <w:bookmarkEnd w:id="0"/>
      <w:r>
        <w:rPr>
          <w:rFonts w:hint="default" w:ascii="Times New Roman" w:hAnsi="Times New Roman" w:eastAsia="方正公文小标宋" w:cs="Times New Roman"/>
          <w:sz w:val="44"/>
          <w:szCs w:val="44"/>
        </w:rPr>
        <w:t>（2021-2035年）》</w:t>
      </w:r>
      <w:r>
        <w:rPr>
          <w:rFonts w:hint="default" w:ascii="Times New Roman" w:hAnsi="Times New Roman" w:eastAsia="方正公文小标宋" w:cs="Times New Roman"/>
          <w:spacing w:val="5"/>
          <w:sz w:val="44"/>
          <w:szCs w:val="44"/>
        </w:rPr>
        <w:t>公告</w:t>
      </w:r>
    </w:p>
    <w:p w14:paraId="1734FB0B">
      <w:pPr>
        <w:spacing w:before="213" w:line="223" w:lineRule="auto"/>
        <w:ind w:left="30" w:firstLine="576" w:firstLineChars="200"/>
        <w:outlineLvl w:val="0"/>
        <w:rPr>
          <w:rFonts w:ascii="黑体" w:hAnsi="黑体" w:eastAsia="黑体" w:cs="黑体"/>
          <w:b w:val="0"/>
          <w:bCs w:val="0"/>
          <w:sz w:val="30"/>
          <w:szCs w:val="30"/>
        </w:rPr>
      </w:pPr>
      <w:r>
        <w:rPr>
          <w:rFonts w:ascii="黑体" w:hAnsi="黑体" w:eastAsia="黑体" w:cs="黑体"/>
          <w:b w:val="0"/>
          <w:bCs w:val="0"/>
          <w:spacing w:val="-6"/>
          <w:sz w:val="30"/>
          <w:szCs w:val="30"/>
        </w:rPr>
        <w:t>一、基本情况</w:t>
      </w:r>
    </w:p>
    <w:p w14:paraId="31ADCDD7">
      <w:pPr>
        <w:widowControl w:val="0"/>
        <w:kinsoku/>
        <w:autoSpaceDE/>
        <w:autoSpaceDN/>
        <w:adjustRightInd/>
        <w:snapToGrid/>
        <w:spacing w:before="0" w:beforeLines="0" w:line="560" w:lineRule="exact"/>
        <w:ind w:firstLine="600" w:firstLineChars="200"/>
        <w:jc w:val="both"/>
        <w:textAlignment w:val="auto"/>
        <w:rPr>
          <w:rFonts w:hint="default" w:ascii="Times New Roman" w:hAnsi="Times New Roman" w:eastAsia="方正仿宋_GB2312" w:cs="Times New Roman"/>
          <w:b w:val="0"/>
          <w:bCs w:val="0"/>
          <w:snapToGrid/>
          <w:kern w:val="2"/>
          <w:sz w:val="30"/>
          <w:szCs w:val="30"/>
          <w:lang w:val="en-US" w:eastAsia="zh-CN"/>
        </w:rPr>
      </w:pPr>
      <w:r>
        <w:rPr>
          <w:rFonts w:hint="default" w:ascii="Times New Roman" w:hAnsi="Times New Roman" w:eastAsia="方正仿宋_GB2312" w:cs="Times New Roman"/>
          <w:b w:val="0"/>
          <w:bCs w:val="0"/>
          <w:snapToGrid/>
          <w:kern w:val="2"/>
          <w:sz w:val="30"/>
          <w:szCs w:val="30"/>
          <w:lang w:val="en-US" w:eastAsia="zh-CN"/>
        </w:rPr>
        <w:t>1.区域位置</w:t>
      </w:r>
    </w:p>
    <w:p w14:paraId="17683994">
      <w:pPr>
        <w:widowControl w:val="0"/>
        <w:kinsoku/>
        <w:autoSpaceDE/>
        <w:autoSpaceDN/>
        <w:adjustRightInd/>
        <w:snapToGrid/>
        <w:spacing w:before="0" w:beforeLines="0" w:line="560" w:lineRule="exact"/>
        <w:ind w:firstLine="600" w:firstLineChars="200"/>
        <w:jc w:val="both"/>
        <w:textAlignment w:val="auto"/>
        <w:rPr>
          <w:rFonts w:hint="default" w:ascii="Times New Roman" w:hAnsi="Times New Roman" w:eastAsia="方正仿宋_GB2312" w:cs="Times New Roman"/>
          <w:b w:val="0"/>
          <w:bCs w:val="0"/>
          <w:snapToGrid/>
          <w:kern w:val="2"/>
          <w:sz w:val="30"/>
          <w:szCs w:val="30"/>
          <w:lang w:val="en-US" w:eastAsia="zh-CN"/>
        </w:rPr>
      </w:pPr>
      <w:r>
        <w:rPr>
          <w:rFonts w:hint="default" w:ascii="Times New Roman" w:hAnsi="Times New Roman" w:eastAsia="方正仿宋_GB2312" w:cs="Times New Roman"/>
          <w:b w:val="0"/>
          <w:bCs w:val="0"/>
          <w:snapToGrid/>
          <w:kern w:val="2"/>
          <w:sz w:val="30"/>
          <w:szCs w:val="30"/>
          <w:lang w:val="en-US" w:eastAsia="zh-CN"/>
        </w:rPr>
        <w:t>洼子村位于辽宁省大连市庄河市城山镇南部，东与城山镇吉庆村相依，南与明阳街道王派村为邻，西与城山镇马庙村相邻，北与城山镇中和村接壤。距城山镇镇区约6千米。洼子村地势平坦，土壤肥沃，域内山林、水体资源比较丰富，交通条件便利。</w:t>
      </w:r>
    </w:p>
    <w:p w14:paraId="577AAD82">
      <w:pPr>
        <w:widowControl w:val="0"/>
        <w:kinsoku/>
        <w:autoSpaceDE/>
        <w:autoSpaceDN/>
        <w:adjustRightInd/>
        <w:snapToGrid/>
        <w:spacing w:before="0" w:beforeLines="0" w:line="560" w:lineRule="exact"/>
        <w:ind w:firstLine="600" w:firstLineChars="200"/>
        <w:jc w:val="both"/>
        <w:textAlignment w:val="auto"/>
        <w:rPr>
          <w:rFonts w:hint="default" w:ascii="Times New Roman" w:hAnsi="Times New Roman" w:eastAsia="方正仿宋_GB2312" w:cs="Times New Roman"/>
          <w:b w:val="0"/>
          <w:bCs w:val="0"/>
          <w:snapToGrid/>
          <w:kern w:val="2"/>
          <w:sz w:val="30"/>
          <w:szCs w:val="30"/>
          <w:lang w:val="en-US" w:eastAsia="zh-CN"/>
        </w:rPr>
      </w:pPr>
      <w:r>
        <w:rPr>
          <w:rFonts w:hint="default" w:ascii="Times New Roman" w:hAnsi="Times New Roman" w:eastAsia="方正仿宋_GB2312" w:cs="Times New Roman"/>
          <w:b w:val="0"/>
          <w:bCs w:val="0"/>
          <w:snapToGrid/>
          <w:kern w:val="2"/>
          <w:sz w:val="30"/>
          <w:szCs w:val="30"/>
          <w:lang w:val="en-US" w:eastAsia="zh-CN"/>
        </w:rPr>
        <w:t>2.规划范围</w:t>
      </w:r>
    </w:p>
    <w:p w14:paraId="3E188EB1">
      <w:pPr>
        <w:widowControl w:val="0"/>
        <w:kinsoku/>
        <w:autoSpaceDE/>
        <w:autoSpaceDN/>
        <w:adjustRightInd/>
        <w:snapToGrid/>
        <w:spacing w:before="0" w:beforeLines="0" w:line="560" w:lineRule="exact"/>
        <w:ind w:firstLine="600" w:firstLineChars="200"/>
        <w:jc w:val="both"/>
        <w:textAlignment w:val="auto"/>
        <w:rPr>
          <w:rFonts w:hint="default" w:ascii="Times New Roman" w:hAnsi="Times New Roman" w:eastAsia="方正仿宋_GB2312" w:cs="Times New Roman"/>
          <w:b w:val="0"/>
          <w:bCs w:val="0"/>
          <w:snapToGrid/>
          <w:kern w:val="2"/>
          <w:sz w:val="30"/>
          <w:szCs w:val="30"/>
          <w:lang w:val="en-US" w:eastAsia="zh-CN"/>
        </w:rPr>
      </w:pPr>
      <w:r>
        <w:rPr>
          <w:rFonts w:hint="default" w:ascii="Times New Roman" w:hAnsi="Times New Roman" w:eastAsia="方正仿宋_GB2312" w:cs="Times New Roman"/>
          <w:b w:val="0"/>
          <w:bCs w:val="0"/>
          <w:snapToGrid/>
          <w:kern w:val="2"/>
          <w:sz w:val="30"/>
          <w:szCs w:val="30"/>
          <w:lang w:val="en-US" w:eastAsia="zh-CN"/>
        </w:rPr>
        <w:t>本次规划范围为洼子村行政辖区内全部国土空间，总面积为996.69公顷。</w:t>
      </w:r>
    </w:p>
    <w:p w14:paraId="4480E8B1">
      <w:pPr>
        <w:widowControl w:val="0"/>
        <w:kinsoku/>
        <w:autoSpaceDE/>
        <w:autoSpaceDN/>
        <w:adjustRightInd/>
        <w:snapToGrid/>
        <w:spacing w:before="0" w:beforeLines="0" w:line="560" w:lineRule="exact"/>
        <w:ind w:firstLine="600" w:firstLineChars="200"/>
        <w:jc w:val="both"/>
        <w:textAlignment w:val="auto"/>
        <w:rPr>
          <w:rFonts w:hint="default" w:ascii="Times New Roman" w:hAnsi="Times New Roman" w:eastAsia="方正仿宋_GB2312" w:cs="Times New Roman"/>
          <w:b w:val="0"/>
          <w:bCs w:val="0"/>
          <w:snapToGrid/>
          <w:kern w:val="2"/>
          <w:sz w:val="30"/>
          <w:szCs w:val="30"/>
          <w:lang w:val="en-US" w:eastAsia="zh-CN"/>
        </w:rPr>
      </w:pPr>
      <w:r>
        <w:rPr>
          <w:rFonts w:hint="default" w:ascii="Times New Roman" w:hAnsi="Times New Roman" w:eastAsia="方正仿宋_GB2312" w:cs="Times New Roman"/>
          <w:b w:val="0"/>
          <w:bCs w:val="0"/>
          <w:snapToGrid/>
          <w:kern w:val="2"/>
          <w:sz w:val="30"/>
          <w:szCs w:val="30"/>
          <w:lang w:val="en-US" w:eastAsia="zh-CN"/>
        </w:rPr>
        <w:t>3.规划期限</w:t>
      </w:r>
    </w:p>
    <w:p w14:paraId="3AF5F262">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default" w:ascii="Times New Roman" w:hAnsi="Times New Roman" w:eastAsia="方正仿宋_GB2312" w:cs="Times New Roman"/>
          <w:b w:val="0"/>
          <w:bCs w:val="0"/>
          <w:snapToGrid/>
          <w:kern w:val="2"/>
          <w:sz w:val="30"/>
          <w:szCs w:val="30"/>
          <w:lang w:val="en-US" w:eastAsia="zh-CN"/>
        </w:rPr>
        <w:t>规划基期2020年，近期至2025年，远期至2035年。</w:t>
      </w:r>
    </w:p>
    <w:p w14:paraId="0E9B97D0">
      <w:pPr>
        <w:spacing w:before="213" w:line="223" w:lineRule="auto"/>
        <w:ind w:left="30" w:firstLine="576" w:firstLineChars="200"/>
        <w:outlineLvl w:val="0"/>
        <w:rPr>
          <w:rFonts w:ascii="黑体" w:hAnsi="黑体" w:eastAsia="黑体" w:cs="黑体"/>
          <w:b w:val="0"/>
          <w:bCs w:val="0"/>
          <w:spacing w:val="-6"/>
          <w:sz w:val="30"/>
          <w:szCs w:val="30"/>
        </w:rPr>
      </w:pPr>
      <w:r>
        <w:rPr>
          <w:rFonts w:ascii="黑体" w:hAnsi="黑体" w:eastAsia="黑体" w:cs="黑体"/>
          <w:b w:val="0"/>
          <w:bCs w:val="0"/>
          <w:spacing w:val="-6"/>
          <w:sz w:val="30"/>
          <w:szCs w:val="30"/>
        </w:rPr>
        <w:t>二、国土空间管控</w:t>
      </w:r>
    </w:p>
    <w:p w14:paraId="2D37B546">
      <w:pPr>
        <w:widowControl w:val="0"/>
        <w:kinsoku/>
        <w:autoSpaceDE/>
        <w:autoSpaceDN/>
        <w:adjustRightInd/>
        <w:snapToGrid/>
        <w:spacing w:before="0" w:beforeLines="0" w:line="560" w:lineRule="exact"/>
        <w:ind w:firstLine="600" w:firstLineChars="200"/>
        <w:jc w:val="both"/>
        <w:textAlignment w:val="auto"/>
        <w:rPr>
          <w:rFonts w:hint="default" w:ascii="Times New Roman" w:hAnsi="Times New Roman" w:eastAsia="方正仿宋_GB2312" w:cs="Times New Roman"/>
          <w:b w:val="0"/>
          <w:bCs w:val="0"/>
          <w:snapToGrid/>
          <w:kern w:val="2"/>
          <w:sz w:val="30"/>
          <w:szCs w:val="30"/>
          <w:highlight w:val="none"/>
          <w:lang w:val="en-US" w:eastAsia="zh-CN"/>
        </w:rPr>
      </w:pPr>
      <w:r>
        <w:rPr>
          <w:rFonts w:hint="default" w:ascii="Times New Roman" w:hAnsi="Times New Roman" w:eastAsia="方正仿宋_GB2312" w:cs="Times New Roman"/>
          <w:b w:val="0"/>
          <w:bCs w:val="0"/>
          <w:snapToGrid/>
          <w:kern w:val="2"/>
          <w:sz w:val="30"/>
          <w:szCs w:val="30"/>
          <w:highlight w:val="none"/>
          <w:lang w:val="en-US" w:eastAsia="zh-CN"/>
        </w:rPr>
        <w:t>《庄河市城山镇国土空间总体规划（2021-2035年）》将洼子村定位为整治提升类村庄。明确洼子村2035年乡村常住人口约</w:t>
      </w:r>
      <w:r>
        <w:rPr>
          <w:rFonts w:hint="default" w:ascii="Times New Roman" w:hAnsi="Times New Roman" w:eastAsia="方正仿宋_GB2312" w:cs="Times New Roman"/>
          <w:b w:val="0"/>
          <w:bCs w:val="0"/>
          <w:snapToGrid/>
          <w:color w:val="auto"/>
          <w:kern w:val="2"/>
          <w:sz w:val="30"/>
          <w:szCs w:val="30"/>
          <w:highlight w:val="none"/>
          <w:lang w:val="en-US" w:eastAsia="zh-CN"/>
        </w:rPr>
        <w:t>2623</w:t>
      </w:r>
      <w:r>
        <w:rPr>
          <w:rFonts w:hint="default" w:ascii="Times New Roman" w:hAnsi="Times New Roman" w:eastAsia="方正仿宋_GB2312" w:cs="Times New Roman"/>
          <w:b w:val="0"/>
          <w:bCs w:val="0"/>
          <w:snapToGrid/>
          <w:kern w:val="2"/>
          <w:sz w:val="30"/>
          <w:szCs w:val="30"/>
          <w:highlight w:val="none"/>
          <w:lang w:val="en-US" w:eastAsia="zh-CN"/>
        </w:rPr>
        <w:t>人。约束性指标包括：永久基本农田面积605.33公顷，耕地保有量612.26公顷，湿地面积28.68公顷，村庄建设边界面积83.08公顷。</w:t>
      </w:r>
    </w:p>
    <w:p w14:paraId="0D4559B1">
      <w:pPr>
        <w:widowControl w:val="0"/>
        <w:kinsoku/>
        <w:autoSpaceDE/>
        <w:autoSpaceDN/>
        <w:adjustRightInd/>
        <w:snapToGrid/>
        <w:spacing w:before="0" w:beforeLines="0" w:line="560" w:lineRule="exact"/>
        <w:ind w:firstLine="600" w:firstLineChars="200"/>
        <w:jc w:val="both"/>
        <w:textAlignment w:val="auto"/>
        <w:rPr>
          <w:rFonts w:hint="default" w:ascii="Times New Roman" w:hAnsi="Times New Roman" w:eastAsia="方正仿宋_GB2312" w:cs="Times New Roman"/>
          <w:b w:val="0"/>
          <w:bCs w:val="0"/>
          <w:snapToGrid/>
          <w:kern w:val="2"/>
          <w:sz w:val="30"/>
          <w:szCs w:val="30"/>
          <w:highlight w:val="none"/>
          <w:lang w:val="en-US" w:eastAsia="zh-CN"/>
        </w:rPr>
      </w:pPr>
      <w:r>
        <w:rPr>
          <w:rFonts w:hint="default" w:ascii="Times New Roman" w:hAnsi="Times New Roman" w:eastAsia="方正仿宋_GB2312" w:cs="Times New Roman"/>
          <w:b w:val="0"/>
          <w:bCs w:val="0"/>
          <w:snapToGrid/>
          <w:kern w:val="2"/>
          <w:sz w:val="30"/>
          <w:szCs w:val="30"/>
          <w:lang w:val="en-US" w:eastAsia="zh-CN"/>
        </w:rPr>
        <w:t>1.保障农业空间</w:t>
      </w:r>
    </w:p>
    <w:p w14:paraId="36F85737">
      <w:pPr>
        <w:widowControl w:val="0"/>
        <w:kinsoku/>
        <w:autoSpaceDE/>
        <w:autoSpaceDN/>
        <w:adjustRightInd/>
        <w:snapToGrid/>
        <w:spacing w:before="0" w:beforeLines="0" w:line="560" w:lineRule="exact"/>
        <w:ind w:firstLine="600" w:firstLineChars="200"/>
        <w:jc w:val="both"/>
        <w:textAlignment w:val="auto"/>
        <w:rPr>
          <w:rFonts w:hint="default" w:ascii="Times New Roman" w:hAnsi="Times New Roman" w:eastAsia="方正仿宋_GB2312" w:cs="Times New Roman"/>
          <w:b w:val="0"/>
          <w:bCs w:val="0"/>
          <w:snapToGrid/>
          <w:kern w:val="2"/>
          <w:sz w:val="30"/>
          <w:szCs w:val="30"/>
          <w:highlight w:val="none"/>
          <w:lang w:val="en-US" w:eastAsia="zh-CN"/>
        </w:rPr>
      </w:pPr>
      <w:r>
        <w:rPr>
          <w:rFonts w:hint="default" w:ascii="Times New Roman" w:hAnsi="Times New Roman" w:eastAsia="方正仿宋_GB2312" w:cs="Times New Roman"/>
          <w:b w:val="0"/>
          <w:bCs w:val="0"/>
          <w:snapToGrid/>
          <w:kern w:val="2"/>
          <w:sz w:val="30"/>
          <w:szCs w:val="30"/>
          <w:highlight w:val="none"/>
          <w:lang w:val="en-US" w:eastAsia="zh-CN"/>
        </w:rPr>
        <w:t>农业空间包括耕地、园地、设施农用地等。规划形成三大农业片区，即北部农业片区、南部农业片区、东部农业片区。</w:t>
      </w:r>
    </w:p>
    <w:p w14:paraId="2062C491">
      <w:pPr>
        <w:widowControl w:val="0"/>
        <w:kinsoku/>
        <w:autoSpaceDE/>
        <w:autoSpaceDN/>
        <w:adjustRightInd/>
        <w:snapToGrid/>
        <w:spacing w:before="0" w:beforeLines="0" w:line="560" w:lineRule="exact"/>
        <w:ind w:firstLine="600" w:firstLineChars="200"/>
        <w:jc w:val="both"/>
        <w:textAlignment w:val="auto"/>
        <w:rPr>
          <w:rFonts w:hint="default" w:ascii="Times New Roman" w:hAnsi="Times New Roman" w:eastAsia="方正仿宋_GB2312" w:cs="Times New Roman"/>
          <w:b w:val="0"/>
          <w:bCs w:val="0"/>
          <w:snapToGrid/>
          <w:kern w:val="2"/>
          <w:sz w:val="30"/>
          <w:szCs w:val="30"/>
          <w:lang w:val="en-US" w:eastAsia="zh-CN"/>
        </w:rPr>
      </w:pPr>
      <w:r>
        <w:rPr>
          <w:rFonts w:hint="default" w:ascii="Times New Roman" w:hAnsi="Times New Roman" w:eastAsia="方正仿宋_GB2312" w:cs="Times New Roman"/>
          <w:b w:val="0"/>
          <w:bCs w:val="0"/>
          <w:snapToGrid/>
          <w:kern w:val="2"/>
          <w:sz w:val="30"/>
          <w:szCs w:val="30"/>
          <w:lang w:val="en-US" w:eastAsia="zh-CN"/>
        </w:rPr>
        <w:t>统筹安排农业发展空间，坚持农地农用，稳定粮食播种面积，鼓励发展多功能复合、多业态融合的绿色高效农业。引导形成果蔬种植、果蔬采摘、乡村休闲旅游、观光农业融合发展的现代农业基地。尽量利用未利用地、农村闲置设施农业用地及存量利用效率低下的建设用地发展设施农业。农业规模经营必须兴建的配套设施，在不占用永久基本农田的前提下，按相关规定要求纳入设施农用地管理。</w:t>
      </w:r>
    </w:p>
    <w:p w14:paraId="10491766">
      <w:pPr>
        <w:widowControl w:val="0"/>
        <w:kinsoku/>
        <w:autoSpaceDE/>
        <w:autoSpaceDN/>
        <w:adjustRightInd/>
        <w:snapToGrid/>
        <w:spacing w:before="0" w:beforeLines="0" w:line="560" w:lineRule="exact"/>
        <w:ind w:firstLine="600" w:firstLineChars="200"/>
        <w:jc w:val="both"/>
        <w:textAlignment w:val="auto"/>
        <w:rPr>
          <w:rFonts w:hint="default" w:ascii="Times New Roman" w:hAnsi="Times New Roman" w:eastAsia="方正仿宋_GB2312" w:cs="Times New Roman"/>
          <w:b w:val="0"/>
          <w:bCs w:val="0"/>
          <w:snapToGrid/>
          <w:kern w:val="2"/>
          <w:sz w:val="30"/>
          <w:szCs w:val="30"/>
          <w:lang w:val="en-US" w:eastAsia="zh-CN"/>
        </w:rPr>
      </w:pPr>
      <w:r>
        <w:rPr>
          <w:rFonts w:hint="default" w:ascii="Times New Roman" w:hAnsi="Times New Roman" w:eastAsia="方正仿宋_GB2312" w:cs="Times New Roman"/>
          <w:b w:val="0"/>
          <w:bCs w:val="0"/>
          <w:snapToGrid/>
          <w:kern w:val="2"/>
          <w:sz w:val="30"/>
          <w:szCs w:val="30"/>
          <w:lang w:val="en-US" w:eastAsia="zh-CN"/>
        </w:rPr>
        <w:t>分类优化设置田间道，具有农田耕作、农业物资运输等现代化农业生产功能的田间道，道路宽度宜控制在3-6米；以步行功能为主的生产路，宽度控制1.5-3米；同时可结合休闲旅游节点设置慢行步道。</w:t>
      </w:r>
    </w:p>
    <w:p w14:paraId="6C309D13">
      <w:pPr>
        <w:widowControl w:val="0"/>
        <w:kinsoku/>
        <w:autoSpaceDE/>
        <w:autoSpaceDN/>
        <w:adjustRightInd/>
        <w:snapToGrid/>
        <w:spacing w:before="0" w:beforeLines="0" w:line="560" w:lineRule="exact"/>
        <w:ind w:firstLine="600" w:firstLineChars="200"/>
        <w:jc w:val="both"/>
        <w:textAlignment w:val="auto"/>
        <w:rPr>
          <w:rFonts w:hint="default" w:ascii="Times New Roman" w:hAnsi="Times New Roman" w:eastAsia="方正仿宋_GB2312" w:cs="Times New Roman"/>
          <w:b w:val="0"/>
          <w:bCs w:val="0"/>
          <w:snapToGrid/>
          <w:kern w:val="2"/>
          <w:sz w:val="30"/>
          <w:szCs w:val="30"/>
          <w:lang w:val="en-US" w:eastAsia="zh-CN"/>
        </w:rPr>
      </w:pPr>
      <w:r>
        <w:rPr>
          <w:rFonts w:hint="default" w:ascii="Times New Roman" w:hAnsi="Times New Roman" w:eastAsia="方正仿宋_GB2312" w:cs="Times New Roman"/>
          <w:b w:val="0"/>
          <w:bCs w:val="0"/>
          <w:snapToGrid/>
          <w:kern w:val="2"/>
          <w:sz w:val="30"/>
          <w:szCs w:val="30"/>
          <w:lang w:val="en-US" w:eastAsia="zh-CN"/>
        </w:rPr>
        <w:t>2.保护生态空间</w:t>
      </w:r>
    </w:p>
    <w:p w14:paraId="3E08719B">
      <w:pPr>
        <w:widowControl w:val="0"/>
        <w:kinsoku/>
        <w:autoSpaceDE/>
        <w:autoSpaceDN/>
        <w:adjustRightInd/>
        <w:snapToGrid/>
        <w:spacing w:before="0" w:beforeLines="0" w:line="560" w:lineRule="exact"/>
        <w:ind w:firstLine="600" w:firstLineChars="200"/>
        <w:jc w:val="both"/>
        <w:textAlignment w:val="auto"/>
        <w:rPr>
          <w:rFonts w:hint="default" w:ascii="Times New Roman" w:hAnsi="Times New Roman" w:eastAsia="方正仿宋_GB2312" w:cs="Times New Roman"/>
          <w:b w:val="0"/>
          <w:bCs w:val="0"/>
          <w:snapToGrid/>
          <w:kern w:val="2"/>
          <w:sz w:val="30"/>
          <w:szCs w:val="30"/>
          <w:lang w:val="en-US" w:eastAsia="zh-CN"/>
        </w:rPr>
      </w:pPr>
      <w:r>
        <w:rPr>
          <w:rFonts w:hint="default" w:ascii="Times New Roman" w:hAnsi="Times New Roman" w:eastAsia="方正仿宋_GB2312" w:cs="Times New Roman"/>
          <w:b w:val="0"/>
          <w:bCs w:val="0"/>
          <w:snapToGrid/>
          <w:kern w:val="2"/>
          <w:sz w:val="30"/>
          <w:szCs w:val="30"/>
          <w:lang w:val="en-US" w:eastAsia="zh-CN"/>
        </w:rPr>
        <w:t>洼子村不涉及生态保护红线，规划将村域内集中连片的林地、河流划入一般生态空间进行管控。</w:t>
      </w:r>
    </w:p>
    <w:p w14:paraId="417F3D68">
      <w:pPr>
        <w:widowControl w:val="0"/>
        <w:kinsoku/>
        <w:autoSpaceDE/>
        <w:autoSpaceDN/>
        <w:adjustRightInd/>
        <w:snapToGrid/>
        <w:spacing w:before="0" w:beforeLines="0" w:line="560" w:lineRule="exact"/>
        <w:ind w:firstLine="600" w:firstLineChars="200"/>
        <w:jc w:val="both"/>
        <w:textAlignment w:val="auto"/>
        <w:rPr>
          <w:rFonts w:hint="default" w:ascii="Times New Roman" w:hAnsi="Times New Roman" w:eastAsia="方正仿宋_GB2312" w:cs="Times New Roman"/>
          <w:b w:val="0"/>
          <w:bCs w:val="0"/>
          <w:snapToGrid/>
          <w:kern w:val="2"/>
          <w:sz w:val="30"/>
          <w:szCs w:val="30"/>
          <w:lang w:val="en-US" w:eastAsia="zh-CN"/>
        </w:rPr>
      </w:pPr>
      <w:r>
        <w:rPr>
          <w:rFonts w:hint="default" w:ascii="Times New Roman" w:hAnsi="Times New Roman" w:eastAsia="方正仿宋_GB2312" w:cs="Times New Roman"/>
          <w:b w:val="0"/>
          <w:bCs w:val="0"/>
          <w:snapToGrid/>
          <w:kern w:val="2"/>
          <w:sz w:val="30"/>
          <w:szCs w:val="30"/>
          <w:lang w:val="en-US" w:eastAsia="zh-CN"/>
        </w:rPr>
        <w:t>湿地保护。落实上位规划确定的湿地面积约28.68公顷，严格管控湿地活动，禁止开垦、填埋、排干湿地，永久性截断湿地水源，向湿地超标排放污染物等破坏湿地的行为。</w:t>
      </w:r>
    </w:p>
    <w:p w14:paraId="33CA9F8F">
      <w:pPr>
        <w:widowControl w:val="0"/>
        <w:kinsoku/>
        <w:autoSpaceDE/>
        <w:autoSpaceDN/>
        <w:adjustRightInd/>
        <w:snapToGrid/>
        <w:spacing w:before="0" w:beforeLines="0" w:line="560" w:lineRule="exact"/>
        <w:ind w:firstLine="600" w:firstLineChars="200"/>
        <w:jc w:val="both"/>
        <w:textAlignment w:val="auto"/>
        <w:rPr>
          <w:rFonts w:hint="default" w:ascii="Times New Roman" w:hAnsi="Times New Roman" w:eastAsia="方正仿宋_GB2312" w:cs="Times New Roman"/>
          <w:b w:val="0"/>
          <w:bCs w:val="0"/>
          <w:snapToGrid/>
          <w:kern w:val="2"/>
          <w:sz w:val="30"/>
          <w:szCs w:val="30"/>
          <w:lang w:val="en-US" w:eastAsia="zh-CN"/>
        </w:rPr>
      </w:pPr>
      <w:r>
        <w:rPr>
          <w:rFonts w:hint="default" w:ascii="Times New Roman" w:hAnsi="Times New Roman" w:eastAsia="方正仿宋_GB2312" w:cs="Times New Roman"/>
          <w:b w:val="0"/>
          <w:bCs w:val="0"/>
          <w:snapToGrid/>
          <w:kern w:val="2"/>
          <w:sz w:val="30"/>
          <w:szCs w:val="30"/>
          <w:lang w:val="en-US" w:eastAsia="zh-CN"/>
        </w:rPr>
        <w:t>林地保护。落实上位规划下达的林地保有量指标和保护要求，</w:t>
      </w:r>
      <w:r>
        <w:rPr>
          <w:rFonts w:hint="default" w:ascii="Times New Roman" w:hAnsi="Times New Roman" w:eastAsia="方正仿宋_GB2312" w:cs="Times New Roman"/>
          <w:b w:val="0"/>
          <w:bCs w:val="0"/>
          <w:snapToGrid/>
          <w:kern w:val="2"/>
          <w:sz w:val="30"/>
          <w:szCs w:val="30"/>
          <w:highlight w:val="none"/>
          <w:lang w:val="en-US" w:eastAsia="zh-CN"/>
        </w:rPr>
        <w:t>洼子村无绿化造林图斑。</w:t>
      </w:r>
    </w:p>
    <w:p w14:paraId="2E5F802F">
      <w:pPr>
        <w:widowControl w:val="0"/>
        <w:kinsoku/>
        <w:autoSpaceDE/>
        <w:autoSpaceDN/>
        <w:adjustRightInd/>
        <w:snapToGrid/>
        <w:spacing w:before="0" w:beforeLines="0" w:line="560" w:lineRule="exact"/>
        <w:ind w:firstLine="600" w:firstLineChars="200"/>
        <w:jc w:val="both"/>
        <w:textAlignment w:val="auto"/>
        <w:rPr>
          <w:rFonts w:hint="default" w:ascii="Times New Roman" w:hAnsi="Times New Roman" w:eastAsia="方正仿宋_GB2312" w:cs="Times New Roman"/>
          <w:b w:val="0"/>
          <w:bCs w:val="0"/>
          <w:snapToGrid/>
          <w:kern w:val="2"/>
          <w:sz w:val="30"/>
          <w:szCs w:val="30"/>
          <w:lang w:val="en-US" w:eastAsia="zh-CN"/>
        </w:rPr>
      </w:pPr>
      <w:r>
        <w:rPr>
          <w:rFonts w:hint="default" w:ascii="Times New Roman" w:hAnsi="Times New Roman" w:eastAsia="方正仿宋_GB2312" w:cs="Times New Roman"/>
          <w:b w:val="0"/>
          <w:bCs w:val="0"/>
          <w:snapToGrid/>
          <w:kern w:val="2"/>
          <w:sz w:val="30"/>
          <w:szCs w:val="30"/>
          <w:lang w:val="en-US" w:eastAsia="zh-CN"/>
        </w:rPr>
        <w:t>3.优化建设空间</w:t>
      </w:r>
    </w:p>
    <w:p w14:paraId="1C1D5186">
      <w:pPr>
        <w:widowControl w:val="0"/>
        <w:kinsoku/>
        <w:autoSpaceDE/>
        <w:autoSpaceDN/>
        <w:adjustRightInd/>
        <w:snapToGrid/>
        <w:spacing w:before="0" w:beforeLines="0" w:line="560" w:lineRule="exact"/>
        <w:ind w:firstLine="600" w:firstLineChars="200"/>
        <w:jc w:val="both"/>
        <w:textAlignment w:val="auto"/>
        <w:rPr>
          <w:rFonts w:hint="default" w:ascii="Times New Roman" w:hAnsi="Times New Roman" w:eastAsia="方正仿宋_GB2312" w:cs="Times New Roman"/>
          <w:b w:val="0"/>
          <w:bCs w:val="0"/>
          <w:snapToGrid/>
          <w:kern w:val="2"/>
          <w:sz w:val="30"/>
          <w:szCs w:val="30"/>
          <w:highlight w:val="none"/>
          <w:lang w:val="en-US" w:eastAsia="zh-CN"/>
        </w:rPr>
      </w:pPr>
      <w:r>
        <w:rPr>
          <w:rFonts w:hint="default" w:ascii="Times New Roman" w:hAnsi="Times New Roman" w:eastAsia="方正仿宋_GB2312" w:cs="Times New Roman"/>
          <w:b w:val="0"/>
          <w:bCs w:val="0"/>
          <w:snapToGrid/>
          <w:kern w:val="2"/>
          <w:sz w:val="30"/>
          <w:szCs w:val="30"/>
          <w:highlight w:val="none"/>
          <w:lang w:val="en-US" w:eastAsia="zh-CN"/>
        </w:rPr>
        <w:t>根据《庄河市城山镇国土空间总体规划（2021-2035年）》，洼子村村庄建设边界约83.08公顷。</w:t>
      </w:r>
    </w:p>
    <w:p w14:paraId="667EC13D">
      <w:pPr>
        <w:widowControl w:val="0"/>
        <w:kinsoku/>
        <w:autoSpaceDE/>
        <w:autoSpaceDN/>
        <w:adjustRightInd/>
        <w:snapToGrid/>
        <w:spacing w:before="0" w:beforeLines="0" w:line="560" w:lineRule="exact"/>
        <w:ind w:firstLine="600" w:firstLineChars="200"/>
        <w:jc w:val="both"/>
        <w:textAlignment w:val="auto"/>
        <w:rPr>
          <w:rFonts w:hint="default" w:ascii="Times New Roman" w:hAnsi="Times New Roman" w:eastAsia="方正仿宋_GB2312" w:cs="Times New Roman"/>
          <w:b w:val="0"/>
          <w:bCs w:val="0"/>
          <w:snapToGrid/>
          <w:color w:val="FF0000"/>
          <w:kern w:val="2"/>
          <w:sz w:val="30"/>
          <w:szCs w:val="30"/>
          <w:lang w:val="en-US" w:eastAsia="zh-CN"/>
        </w:rPr>
      </w:pPr>
      <w:r>
        <w:rPr>
          <w:rFonts w:hint="default" w:ascii="Times New Roman" w:hAnsi="Times New Roman" w:eastAsia="方正仿宋_GB2312" w:cs="Times New Roman"/>
          <w:b w:val="0"/>
          <w:bCs w:val="0"/>
          <w:snapToGrid/>
          <w:kern w:val="2"/>
          <w:sz w:val="30"/>
          <w:szCs w:val="30"/>
          <w:lang w:val="en-US" w:eastAsia="zh-CN"/>
        </w:rPr>
        <w:t>根据上位规划指标传导</w:t>
      </w:r>
      <w:r>
        <w:rPr>
          <w:rFonts w:hint="default" w:ascii="Times New Roman" w:hAnsi="Times New Roman" w:eastAsia="方正仿宋_GB2312" w:cs="Times New Roman"/>
          <w:b w:val="0"/>
          <w:bCs w:val="0"/>
          <w:snapToGrid/>
          <w:kern w:val="2"/>
          <w:sz w:val="30"/>
          <w:szCs w:val="30"/>
          <w:highlight w:val="none"/>
          <w:lang w:val="en-US" w:eastAsia="zh-CN"/>
        </w:rPr>
        <w:t>及乡村地区人口变化趋势，洼子村建设用地以存量盘活利用为主。</w:t>
      </w:r>
    </w:p>
    <w:p w14:paraId="11F3FFD5">
      <w:pPr>
        <w:spacing w:before="213" w:line="223" w:lineRule="auto"/>
        <w:ind w:left="30" w:firstLine="576" w:firstLineChars="200"/>
        <w:outlineLvl w:val="0"/>
        <w:rPr>
          <w:rFonts w:ascii="黑体" w:hAnsi="黑体" w:eastAsia="黑体" w:cs="黑体"/>
          <w:b w:val="0"/>
          <w:bCs w:val="0"/>
          <w:spacing w:val="-6"/>
          <w:sz w:val="30"/>
          <w:szCs w:val="30"/>
        </w:rPr>
      </w:pPr>
      <w:r>
        <w:rPr>
          <w:rFonts w:ascii="黑体" w:hAnsi="黑体" w:eastAsia="黑体" w:cs="黑体"/>
          <w:b w:val="0"/>
          <w:bCs w:val="0"/>
          <w:spacing w:val="-6"/>
          <w:sz w:val="30"/>
          <w:szCs w:val="30"/>
        </w:rPr>
        <w:t>三、村域空间发展规划</w:t>
      </w:r>
    </w:p>
    <w:p w14:paraId="6B1ACE2F">
      <w:pPr>
        <w:widowControl w:val="0"/>
        <w:kinsoku/>
        <w:autoSpaceDE/>
        <w:autoSpaceDN/>
        <w:adjustRightInd/>
        <w:snapToGrid/>
        <w:spacing w:before="0" w:beforeLines="0" w:line="560" w:lineRule="exact"/>
        <w:ind w:firstLine="600" w:firstLineChars="200"/>
        <w:jc w:val="both"/>
        <w:textAlignment w:val="auto"/>
        <w:rPr>
          <w:rFonts w:hint="default" w:ascii="Times New Roman" w:hAnsi="Times New Roman" w:eastAsia="方正仿宋_GB2312" w:cs="Times New Roman"/>
          <w:b w:val="0"/>
          <w:bCs w:val="0"/>
          <w:snapToGrid/>
          <w:kern w:val="2"/>
          <w:sz w:val="30"/>
          <w:szCs w:val="30"/>
          <w:lang w:val="en-US" w:eastAsia="zh-CN"/>
        </w:rPr>
      </w:pPr>
      <w:r>
        <w:rPr>
          <w:rFonts w:hint="default" w:ascii="Times New Roman" w:hAnsi="Times New Roman" w:eastAsia="方正仿宋_GB2312" w:cs="Times New Roman"/>
          <w:b w:val="0"/>
          <w:bCs w:val="0"/>
          <w:snapToGrid/>
          <w:kern w:val="2"/>
          <w:sz w:val="30"/>
          <w:szCs w:val="30"/>
          <w:lang w:val="en-US" w:eastAsia="zh-CN"/>
        </w:rPr>
        <w:t>1.产业发展</w:t>
      </w:r>
    </w:p>
    <w:p w14:paraId="7951CFFE">
      <w:pPr>
        <w:widowControl w:val="0"/>
        <w:kinsoku/>
        <w:autoSpaceDE/>
        <w:autoSpaceDN/>
        <w:adjustRightInd/>
        <w:snapToGrid/>
        <w:spacing w:before="0" w:beforeLines="0" w:line="560" w:lineRule="exact"/>
        <w:ind w:firstLine="600" w:firstLineChars="200"/>
        <w:jc w:val="both"/>
        <w:textAlignment w:val="auto"/>
        <w:rPr>
          <w:rFonts w:hint="default" w:ascii="Times New Roman" w:hAnsi="Times New Roman" w:eastAsia="方正仿宋_GB2312" w:cs="Times New Roman"/>
          <w:b w:val="0"/>
          <w:bCs w:val="0"/>
          <w:snapToGrid/>
          <w:kern w:val="2"/>
          <w:sz w:val="30"/>
          <w:szCs w:val="30"/>
          <w:lang w:val="en-US" w:eastAsia="zh-CN"/>
        </w:rPr>
      </w:pPr>
      <w:r>
        <w:rPr>
          <w:rFonts w:hint="default" w:ascii="Times New Roman" w:hAnsi="Times New Roman" w:eastAsia="方正仿宋_GB2312" w:cs="Times New Roman"/>
          <w:b w:val="0"/>
          <w:bCs w:val="0"/>
          <w:snapToGrid/>
          <w:kern w:val="2"/>
          <w:sz w:val="30"/>
          <w:szCs w:val="30"/>
          <w:lang w:val="en-US" w:eastAsia="zh-CN"/>
        </w:rPr>
        <w:t>洼子村以玉米种植、设施农业为基础，依托青山秀水的山林景观风貌，打造以绿色休闲农业和体验型乡村旅游为特色，“种养结合、生态旅居”的特色宜居示范村。在提升生态环境质量、保护自然资源、保障生态系统稳定与可持续发展的同时，村域将扎实推进果蔬及粮食产业的提质增效与规模拓展，以满足市场需求，提升村民经济收益。此外，洼子村将重点改善基础设施和公共服务，优化人居环境品质，致力于建设宜居宜业的美丽乡村。</w:t>
      </w:r>
    </w:p>
    <w:p w14:paraId="0E4F6698">
      <w:pPr>
        <w:widowControl w:val="0"/>
        <w:kinsoku/>
        <w:autoSpaceDE/>
        <w:autoSpaceDN/>
        <w:adjustRightInd/>
        <w:snapToGrid/>
        <w:spacing w:before="0" w:beforeLines="0" w:line="560" w:lineRule="exact"/>
        <w:ind w:firstLine="600" w:firstLineChars="200"/>
        <w:jc w:val="both"/>
        <w:textAlignment w:val="auto"/>
        <w:rPr>
          <w:rFonts w:hint="default" w:ascii="Times New Roman" w:hAnsi="Times New Roman" w:eastAsia="方正仿宋_GB2312" w:cs="Times New Roman"/>
          <w:b w:val="0"/>
          <w:bCs w:val="0"/>
          <w:snapToGrid/>
          <w:kern w:val="2"/>
          <w:sz w:val="30"/>
          <w:szCs w:val="30"/>
          <w:lang w:val="en-US" w:eastAsia="zh-CN"/>
        </w:rPr>
      </w:pPr>
      <w:r>
        <w:rPr>
          <w:rFonts w:hint="default" w:ascii="Times New Roman" w:hAnsi="Times New Roman" w:eastAsia="方正仿宋_GB2312" w:cs="Times New Roman"/>
          <w:b w:val="0"/>
          <w:bCs w:val="0"/>
          <w:snapToGrid/>
          <w:kern w:val="2"/>
          <w:sz w:val="30"/>
          <w:szCs w:val="30"/>
          <w:highlight w:val="none"/>
          <w:lang w:val="en-US" w:eastAsia="zh-CN"/>
        </w:rPr>
        <w:t>2.人口规</w:t>
      </w:r>
      <w:r>
        <w:rPr>
          <w:rFonts w:hint="default" w:ascii="Times New Roman" w:hAnsi="Times New Roman" w:eastAsia="方正仿宋_GB2312" w:cs="Times New Roman"/>
          <w:b w:val="0"/>
          <w:bCs w:val="0"/>
          <w:snapToGrid/>
          <w:kern w:val="2"/>
          <w:sz w:val="30"/>
          <w:szCs w:val="30"/>
          <w:lang w:val="en-US" w:eastAsia="zh-CN"/>
        </w:rPr>
        <w:t>模</w:t>
      </w:r>
    </w:p>
    <w:p w14:paraId="481287A8">
      <w:pPr>
        <w:widowControl w:val="0"/>
        <w:kinsoku/>
        <w:autoSpaceDE/>
        <w:autoSpaceDN/>
        <w:adjustRightInd/>
        <w:snapToGrid/>
        <w:spacing w:before="0" w:beforeLines="0" w:line="560" w:lineRule="exact"/>
        <w:ind w:firstLine="600" w:firstLineChars="200"/>
        <w:jc w:val="both"/>
        <w:textAlignment w:val="auto"/>
        <w:rPr>
          <w:rFonts w:hint="default" w:ascii="Times New Roman" w:hAnsi="Times New Roman" w:eastAsia="方正仿宋_GB2312" w:cs="Times New Roman"/>
          <w:b w:val="0"/>
          <w:bCs w:val="0"/>
          <w:snapToGrid/>
          <w:kern w:val="2"/>
          <w:sz w:val="30"/>
          <w:szCs w:val="30"/>
          <w:highlight w:val="none"/>
          <w:lang w:val="en-US" w:eastAsia="zh-CN"/>
        </w:rPr>
      </w:pPr>
      <w:r>
        <w:rPr>
          <w:rFonts w:hint="default" w:ascii="Times New Roman" w:hAnsi="Times New Roman" w:eastAsia="方正仿宋_GB2312" w:cs="Times New Roman"/>
          <w:b w:val="0"/>
          <w:bCs w:val="0"/>
          <w:snapToGrid/>
          <w:kern w:val="2"/>
          <w:sz w:val="30"/>
          <w:szCs w:val="30"/>
          <w:highlight w:val="none"/>
          <w:lang w:val="en-US" w:eastAsia="zh-CN"/>
        </w:rPr>
        <w:t>至规划期末2035年，常住人口2623人，户数约656户。</w:t>
      </w:r>
    </w:p>
    <w:p w14:paraId="2A0ECB6B">
      <w:pPr>
        <w:widowControl w:val="0"/>
        <w:kinsoku/>
        <w:autoSpaceDE/>
        <w:autoSpaceDN/>
        <w:adjustRightInd/>
        <w:snapToGrid/>
        <w:spacing w:before="0" w:beforeLines="0" w:line="560" w:lineRule="exact"/>
        <w:ind w:firstLine="600" w:firstLineChars="200"/>
        <w:jc w:val="both"/>
        <w:textAlignment w:val="auto"/>
        <w:rPr>
          <w:rFonts w:hint="default" w:ascii="Times New Roman" w:hAnsi="Times New Roman" w:eastAsia="方正仿宋_GB2312" w:cs="Times New Roman"/>
          <w:b w:val="0"/>
          <w:bCs w:val="0"/>
          <w:snapToGrid/>
          <w:kern w:val="2"/>
          <w:sz w:val="30"/>
          <w:szCs w:val="30"/>
          <w:lang w:val="en-US" w:eastAsia="zh-CN"/>
        </w:rPr>
      </w:pPr>
      <w:r>
        <w:rPr>
          <w:rFonts w:hint="default" w:ascii="Times New Roman" w:hAnsi="Times New Roman" w:eastAsia="方正仿宋_GB2312" w:cs="Times New Roman"/>
          <w:b w:val="0"/>
          <w:bCs w:val="0"/>
          <w:snapToGrid/>
          <w:kern w:val="2"/>
          <w:sz w:val="30"/>
          <w:szCs w:val="30"/>
          <w:lang w:val="en-US" w:eastAsia="zh-CN"/>
        </w:rPr>
        <w:t>3.空间发展布局</w:t>
      </w:r>
    </w:p>
    <w:p w14:paraId="134B2318">
      <w:pPr>
        <w:widowControl w:val="0"/>
        <w:kinsoku/>
        <w:autoSpaceDE/>
        <w:autoSpaceDN/>
        <w:adjustRightInd/>
        <w:snapToGrid/>
        <w:spacing w:before="0" w:beforeLines="0" w:line="560" w:lineRule="exact"/>
        <w:ind w:firstLine="600" w:firstLineChars="200"/>
        <w:jc w:val="both"/>
        <w:textAlignment w:val="auto"/>
        <w:rPr>
          <w:rFonts w:hint="default" w:ascii="Times New Roman" w:hAnsi="Times New Roman" w:eastAsia="方正仿宋_GB2312" w:cs="Times New Roman"/>
          <w:b w:val="0"/>
          <w:bCs w:val="0"/>
          <w:snapToGrid/>
          <w:kern w:val="2"/>
          <w:sz w:val="30"/>
          <w:szCs w:val="30"/>
          <w:lang w:val="en-US" w:eastAsia="zh-CN"/>
        </w:rPr>
      </w:pPr>
      <w:r>
        <w:rPr>
          <w:rFonts w:hint="default" w:ascii="Times New Roman" w:hAnsi="Times New Roman" w:eastAsia="方正仿宋_GB2312" w:cs="Times New Roman"/>
          <w:b w:val="0"/>
          <w:bCs w:val="0"/>
          <w:snapToGrid/>
          <w:kern w:val="2"/>
          <w:sz w:val="30"/>
          <w:szCs w:val="30"/>
          <w:lang w:val="en-US" w:eastAsia="zh-CN"/>
        </w:rPr>
        <w:t>规划产业发展形成“两轴多区多节点”的总体布局。</w:t>
      </w:r>
    </w:p>
    <w:p w14:paraId="181F8C43">
      <w:pPr>
        <w:widowControl w:val="0"/>
        <w:kinsoku/>
        <w:autoSpaceDE/>
        <w:autoSpaceDN/>
        <w:adjustRightInd/>
        <w:snapToGrid/>
        <w:spacing w:before="0" w:beforeLines="0" w:line="560" w:lineRule="exact"/>
        <w:ind w:firstLine="600" w:firstLineChars="200"/>
        <w:jc w:val="both"/>
        <w:textAlignment w:val="auto"/>
        <w:rPr>
          <w:rFonts w:hint="default" w:ascii="Times New Roman" w:hAnsi="Times New Roman" w:eastAsia="方正仿宋_GB2312" w:cs="Times New Roman"/>
          <w:b w:val="0"/>
          <w:bCs w:val="0"/>
          <w:snapToGrid/>
          <w:kern w:val="2"/>
          <w:sz w:val="30"/>
          <w:szCs w:val="30"/>
          <w:lang w:val="en-US" w:eastAsia="zh-CN"/>
        </w:rPr>
      </w:pPr>
      <w:r>
        <w:rPr>
          <w:rFonts w:hint="default" w:ascii="Times New Roman" w:hAnsi="Times New Roman" w:eastAsia="方正仿宋_GB2312" w:cs="Times New Roman"/>
          <w:b w:val="0"/>
          <w:bCs w:val="0"/>
          <w:snapToGrid/>
          <w:kern w:val="2"/>
          <w:sz w:val="30"/>
          <w:szCs w:val="30"/>
          <w:lang w:val="en-US" w:eastAsia="zh-CN"/>
        </w:rPr>
        <w:t xml:space="preserve">两轴：结合东西、南北向公路形成的村域产业发展轴，串联起几大产业片区，发挥公路经济对洼子村产业发展的带动作用。 </w:t>
      </w:r>
    </w:p>
    <w:p w14:paraId="50A396E6">
      <w:pPr>
        <w:widowControl w:val="0"/>
        <w:kinsoku/>
        <w:autoSpaceDE/>
        <w:autoSpaceDN/>
        <w:adjustRightInd/>
        <w:snapToGrid/>
        <w:spacing w:before="0" w:beforeLines="0" w:line="560" w:lineRule="exact"/>
        <w:ind w:firstLine="600" w:firstLineChars="200"/>
        <w:jc w:val="both"/>
        <w:textAlignment w:val="auto"/>
        <w:rPr>
          <w:rFonts w:hint="default" w:ascii="Times New Roman" w:hAnsi="Times New Roman" w:eastAsia="方正仿宋_GB2312" w:cs="Times New Roman"/>
          <w:b w:val="0"/>
          <w:bCs w:val="0"/>
          <w:snapToGrid/>
          <w:kern w:val="2"/>
          <w:sz w:val="30"/>
          <w:szCs w:val="30"/>
          <w:highlight w:val="yellow"/>
          <w:lang w:val="en-US" w:eastAsia="zh-CN"/>
        </w:rPr>
      </w:pPr>
      <w:r>
        <w:rPr>
          <w:rFonts w:hint="default" w:ascii="Times New Roman" w:hAnsi="Times New Roman" w:eastAsia="方正仿宋_GB2312" w:cs="Times New Roman"/>
          <w:b w:val="0"/>
          <w:bCs w:val="0"/>
          <w:snapToGrid/>
          <w:kern w:val="2"/>
          <w:sz w:val="30"/>
          <w:szCs w:val="30"/>
          <w:lang w:val="en-US" w:eastAsia="zh-CN"/>
        </w:rPr>
        <w:t>多区：规划形成“现代种养结合区、林下经济发展区、生态种植涵养区”多个发展片区。</w:t>
      </w:r>
    </w:p>
    <w:p w14:paraId="20465A2F">
      <w:pPr>
        <w:spacing w:before="213" w:line="223" w:lineRule="auto"/>
        <w:ind w:left="30" w:firstLine="576" w:firstLineChars="200"/>
        <w:outlineLvl w:val="0"/>
        <w:rPr>
          <w:rFonts w:ascii="黑体" w:hAnsi="黑体" w:eastAsia="黑体" w:cs="黑体"/>
          <w:b w:val="0"/>
          <w:bCs w:val="0"/>
          <w:spacing w:val="-6"/>
          <w:sz w:val="30"/>
          <w:szCs w:val="30"/>
        </w:rPr>
      </w:pPr>
      <w:r>
        <w:rPr>
          <w:rFonts w:ascii="黑体" w:hAnsi="黑体" w:eastAsia="黑体" w:cs="黑体"/>
          <w:b w:val="0"/>
          <w:bCs w:val="0"/>
          <w:spacing w:val="-6"/>
          <w:sz w:val="30"/>
          <w:szCs w:val="30"/>
        </w:rPr>
        <w:t>四、人居环境整治规划</w:t>
      </w:r>
    </w:p>
    <w:p w14:paraId="197A53A1">
      <w:pPr>
        <w:widowControl w:val="0"/>
        <w:kinsoku/>
        <w:autoSpaceDE/>
        <w:autoSpaceDN/>
        <w:adjustRightInd/>
        <w:snapToGrid/>
        <w:spacing w:before="0" w:beforeLines="0" w:line="560" w:lineRule="exact"/>
        <w:ind w:firstLine="600" w:firstLineChars="200"/>
        <w:jc w:val="both"/>
        <w:textAlignment w:val="auto"/>
        <w:rPr>
          <w:rFonts w:hint="default" w:ascii="Times New Roman" w:hAnsi="Times New Roman" w:eastAsia="方正仿宋_GB2312" w:cs="Times New Roman"/>
          <w:b w:val="0"/>
          <w:bCs w:val="0"/>
          <w:snapToGrid/>
          <w:kern w:val="2"/>
          <w:sz w:val="30"/>
          <w:szCs w:val="30"/>
          <w:lang w:val="en-US" w:eastAsia="zh-CN"/>
        </w:rPr>
      </w:pPr>
      <w:r>
        <w:rPr>
          <w:rFonts w:hint="default" w:ascii="Times New Roman" w:hAnsi="Times New Roman" w:eastAsia="方正仿宋_GB2312" w:cs="Times New Roman"/>
          <w:b w:val="0"/>
          <w:bCs w:val="0"/>
          <w:snapToGrid/>
          <w:kern w:val="2"/>
          <w:sz w:val="30"/>
          <w:szCs w:val="30"/>
          <w:lang w:val="en-US" w:eastAsia="zh-CN"/>
        </w:rPr>
        <w:t>人居环境整治主要对象是规划中已经集中布局的村庄居民点，结合农民生产生活方式，从</w:t>
      </w:r>
      <w:r>
        <w:rPr>
          <w:rFonts w:hint="default" w:ascii="Times New Roman" w:hAnsi="Times New Roman" w:eastAsia="方正仿宋_GB2312" w:cs="Times New Roman"/>
          <w:b w:val="0"/>
          <w:bCs w:val="0"/>
          <w:snapToGrid/>
          <w:kern w:val="2"/>
          <w:sz w:val="30"/>
          <w:szCs w:val="30"/>
          <w:highlight w:val="none"/>
          <w:lang w:val="en-US" w:eastAsia="zh-CN"/>
        </w:rPr>
        <w:t>道路环境整治、重点区域亮化、净化整治、绿化景观整治、边沟整治等</w:t>
      </w:r>
      <w:r>
        <w:rPr>
          <w:rFonts w:hint="default" w:ascii="Times New Roman" w:hAnsi="Times New Roman" w:eastAsia="方正仿宋_GB2312" w:cs="Times New Roman"/>
          <w:b w:val="0"/>
          <w:bCs w:val="0"/>
          <w:snapToGrid/>
          <w:kern w:val="2"/>
          <w:sz w:val="30"/>
          <w:szCs w:val="30"/>
          <w:lang w:val="en-US" w:eastAsia="zh-CN"/>
        </w:rPr>
        <w:t>角度对村庄人居环境进行规划设计。</w:t>
      </w:r>
    </w:p>
    <w:p w14:paraId="0DD58CCF">
      <w:pPr>
        <w:spacing w:before="213" w:line="223" w:lineRule="auto"/>
        <w:ind w:left="30" w:firstLine="576" w:firstLineChars="200"/>
        <w:outlineLvl w:val="0"/>
        <w:rPr>
          <w:rFonts w:ascii="黑体" w:hAnsi="黑体" w:eastAsia="黑体" w:cs="黑体"/>
          <w:b w:val="0"/>
          <w:bCs w:val="0"/>
          <w:spacing w:val="-6"/>
          <w:sz w:val="30"/>
          <w:szCs w:val="30"/>
        </w:rPr>
      </w:pPr>
      <w:r>
        <w:rPr>
          <w:rFonts w:ascii="黑体" w:hAnsi="黑体" w:eastAsia="黑体" w:cs="黑体"/>
          <w:b w:val="0"/>
          <w:bCs w:val="0"/>
          <w:spacing w:val="-6"/>
          <w:sz w:val="30"/>
          <w:szCs w:val="30"/>
        </w:rPr>
        <w:t>五、近期整治规划</w:t>
      </w:r>
    </w:p>
    <w:p w14:paraId="124B0938">
      <w:pPr>
        <w:widowControl w:val="0"/>
        <w:kinsoku/>
        <w:autoSpaceDE/>
        <w:autoSpaceDN/>
        <w:adjustRightInd/>
        <w:snapToGrid/>
        <w:spacing w:before="0" w:beforeLines="0" w:line="560" w:lineRule="exact"/>
        <w:ind w:firstLine="600" w:firstLineChars="200"/>
        <w:jc w:val="both"/>
        <w:textAlignment w:val="auto"/>
        <w:rPr>
          <w:rFonts w:hint="default" w:ascii="Times New Roman" w:hAnsi="Times New Roman" w:eastAsia="方正仿宋_GB2312" w:cs="Times New Roman"/>
          <w:b w:val="0"/>
          <w:bCs w:val="0"/>
          <w:snapToGrid/>
          <w:kern w:val="2"/>
          <w:sz w:val="30"/>
          <w:szCs w:val="30"/>
          <w:highlight w:val="none"/>
          <w:lang w:val="en-US" w:eastAsia="zh-CN"/>
        </w:rPr>
      </w:pPr>
      <w:r>
        <w:rPr>
          <w:rFonts w:hint="default" w:ascii="Times New Roman" w:hAnsi="Times New Roman" w:eastAsia="方正仿宋_GB2312" w:cs="Times New Roman"/>
          <w:b w:val="0"/>
          <w:bCs w:val="0"/>
          <w:snapToGrid/>
          <w:kern w:val="2"/>
          <w:sz w:val="30"/>
          <w:szCs w:val="30"/>
          <w:lang w:val="en-US" w:eastAsia="zh-CN"/>
        </w:rPr>
        <w:t>针</w:t>
      </w:r>
      <w:r>
        <w:rPr>
          <w:rFonts w:hint="default" w:ascii="Times New Roman" w:hAnsi="Times New Roman" w:eastAsia="方正仿宋_GB2312" w:cs="Times New Roman"/>
          <w:b w:val="0"/>
          <w:bCs w:val="0"/>
          <w:snapToGrid/>
          <w:kern w:val="2"/>
          <w:sz w:val="30"/>
          <w:szCs w:val="30"/>
          <w:highlight w:val="none"/>
          <w:lang w:val="en-US" w:eastAsia="zh-CN"/>
        </w:rPr>
        <w:t>对洼子村实际建设需求、居民生产生活和生态保护面临的迫切问题，近期实施项目可分为道路工程、绿化工程、公共服务项目、公用设施项目四类，道路工程以实施道路硬化、道路整治、路灯加装为主。</w:t>
      </w:r>
    </w:p>
    <w:p w14:paraId="04FB0FD9">
      <w:pPr>
        <w:rPr>
          <w:rFonts w:hint="eastAsia" w:ascii="仿宋" w:hAnsi="仿宋" w:eastAsia="仿宋" w:cs="Times New Roman"/>
          <w:b w:val="0"/>
          <w:bCs w:val="0"/>
          <w:snapToGrid/>
          <w:kern w:val="2"/>
          <w:sz w:val="30"/>
          <w:szCs w:val="30"/>
          <w:highlight w:val="yellow"/>
          <w:lang w:val="en-US" w:eastAsia="zh-CN"/>
        </w:rPr>
      </w:pPr>
      <w:r>
        <w:rPr>
          <w:rFonts w:hint="eastAsia" w:ascii="仿宋" w:hAnsi="仿宋" w:eastAsia="仿宋" w:cs="Times New Roman"/>
          <w:b w:val="0"/>
          <w:bCs w:val="0"/>
          <w:snapToGrid/>
          <w:kern w:val="2"/>
          <w:sz w:val="30"/>
          <w:szCs w:val="30"/>
          <w:highlight w:val="yellow"/>
          <w:lang w:val="en-US" w:eastAsia="zh-CN"/>
        </w:rPr>
        <w:br w:type="page"/>
      </w:r>
    </w:p>
    <w:p w14:paraId="002B4203">
      <w:pPr>
        <w:numPr>
          <w:ilvl w:val="0"/>
          <w:numId w:val="0"/>
        </w:numPr>
        <w:spacing w:before="213" w:line="223" w:lineRule="auto"/>
        <w:ind w:firstLine="576" w:firstLineChars="200"/>
        <w:outlineLvl w:val="0"/>
        <w:rPr>
          <w:rFonts w:hint="eastAsia" w:ascii="黑体" w:hAnsi="黑体" w:eastAsia="黑体" w:cs="黑体"/>
          <w:b w:val="0"/>
          <w:bCs w:val="0"/>
          <w:spacing w:val="-6"/>
          <w:sz w:val="30"/>
          <w:szCs w:val="30"/>
          <w:lang w:val="en-US" w:eastAsia="zh-CN"/>
        </w:rPr>
      </w:pPr>
      <w:r>
        <w:rPr>
          <w:rFonts w:hint="eastAsia" w:ascii="黑体" w:hAnsi="黑体" w:eastAsia="黑体" w:cs="黑体"/>
          <w:b w:val="0"/>
          <w:bCs w:val="0"/>
          <w:spacing w:val="-6"/>
          <w:sz w:val="30"/>
          <w:szCs w:val="30"/>
          <w:lang w:val="en-US" w:eastAsia="zh-CN"/>
        </w:rPr>
        <w:t>六、附图</w:t>
      </w:r>
    </w:p>
    <w:p w14:paraId="6143BCE7">
      <w:pPr>
        <w:widowControl w:val="0"/>
        <w:kinsoku/>
        <w:autoSpaceDE/>
        <w:autoSpaceDN/>
        <w:adjustRightInd/>
        <w:snapToGrid/>
        <w:spacing w:before="0" w:beforeLines="0" w:line="560" w:lineRule="exact"/>
        <w:ind w:firstLine="600" w:firstLineChars="200"/>
        <w:jc w:val="both"/>
        <w:textAlignment w:val="auto"/>
        <w:rPr>
          <w:rFonts w:hint="default" w:ascii="Times New Roman" w:hAnsi="Times New Roman" w:eastAsia="方正仿宋_GB2312" w:cs="Times New Roman"/>
          <w:b w:val="0"/>
          <w:bCs w:val="0"/>
          <w:snapToGrid/>
          <w:kern w:val="2"/>
          <w:sz w:val="30"/>
          <w:szCs w:val="30"/>
          <w:highlight w:val="none"/>
          <w:lang w:val="en-US" w:eastAsia="zh-CN"/>
        </w:rPr>
      </w:pPr>
      <w:r>
        <w:rPr>
          <w:rFonts w:hint="default" w:ascii="Times New Roman" w:hAnsi="Times New Roman" w:eastAsia="方正仿宋_GB2312" w:cs="Times New Roman"/>
          <w:b w:val="0"/>
          <w:bCs w:val="0"/>
          <w:snapToGrid/>
          <w:kern w:val="2"/>
          <w:sz w:val="30"/>
          <w:szCs w:val="30"/>
          <w:highlight w:val="none"/>
          <w:lang w:val="en-US" w:eastAsia="zh-CN"/>
        </w:rPr>
        <w:t>1.区位图</w:t>
      </w:r>
    </w:p>
    <w:p w14:paraId="3A2F80BB">
      <w:pPr>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drawing>
          <wp:inline distT="0" distB="0" distL="114300" distR="114300">
            <wp:extent cx="5542280" cy="3918585"/>
            <wp:effectExtent l="0" t="0" r="5080" b="13335"/>
            <wp:docPr id="2" name="图片 2" descr="D:/项目/公示文件/洼子村公示图/区位.png区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项目/公示文件/洼子村公示图/区位.png区位"/>
                    <pic:cNvPicPr>
                      <a:picLocks noChangeAspect="1"/>
                    </pic:cNvPicPr>
                  </pic:nvPicPr>
                  <pic:blipFill>
                    <a:blip r:embed="rId7"/>
                    <a:srcRect t="6" b="6"/>
                    <a:stretch>
                      <a:fillRect/>
                    </a:stretch>
                  </pic:blipFill>
                  <pic:spPr>
                    <a:xfrm>
                      <a:off x="0" y="0"/>
                      <a:ext cx="5542280" cy="3918585"/>
                    </a:xfrm>
                    <a:prstGeom prst="rect">
                      <a:avLst/>
                    </a:prstGeom>
                  </pic:spPr>
                </pic:pic>
              </a:graphicData>
            </a:graphic>
          </wp:inline>
        </w:drawing>
      </w:r>
    </w:p>
    <w:p w14:paraId="0B721AD9">
      <w:pPr>
        <w:widowControl w:val="0"/>
        <w:kinsoku/>
        <w:autoSpaceDE/>
        <w:autoSpaceDN/>
        <w:adjustRightInd/>
        <w:snapToGrid/>
        <w:spacing w:before="0" w:beforeLines="0" w:line="560" w:lineRule="exact"/>
        <w:ind w:firstLine="600" w:firstLineChars="200"/>
        <w:jc w:val="both"/>
        <w:textAlignment w:val="auto"/>
        <w:rPr>
          <w:rFonts w:hint="default" w:ascii="Times New Roman" w:hAnsi="Times New Roman" w:eastAsia="方正仿宋_GB2312" w:cs="Times New Roman"/>
          <w:b w:val="0"/>
          <w:bCs w:val="0"/>
          <w:snapToGrid/>
          <w:kern w:val="2"/>
          <w:sz w:val="30"/>
          <w:szCs w:val="30"/>
          <w:highlight w:val="none"/>
          <w:lang w:val="en-US" w:eastAsia="zh-CN"/>
        </w:rPr>
      </w:pPr>
      <w:r>
        <w:rPr>
          <w:rFonts w:hint="default" w:ascii="Times New Roman" w:hAnsi="Times New Roman" w:eastAsia="方正仿宋_GB2312" w:cs="Times New Roman"/>
          <w:b w:val="0"/>
          <w:bCs w:val="0"/>
          <w:snapToGrid/>
          <w:kern w:val="2"/>
          <w:sz w:val="30"/>
          <w:szCs w:val="30"/>
          <w:highlight w:val="none"/>
          <w:lang w:val="en-US" w:eastAsia="zh-CN"/>
        </w:rPr>
        <w:t>2.各类控制线管控图</w:t>
      </w:r>
    </w:p>
    <w:p w14:paraId="388A48AF">
      <w:pPr>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drawing>
          <wp:inline distT="0" distB="0" distL="114300" distR="114300">
            <wp:extent cx="5535930" cy="3916680"/>
            <wp:effectExtent l="0" t="0" r="11430" b="0"/>
            <wp:docPr id="3" name="图片 3" descr="D:/项目/公示文件/洼子村公示图/控制线.png控制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项目/公示文件/洼子村公示图/控制线.png控制线"/>
                    <pic:cNvPicPr>
                      <a:picLocks noChangeAspect="1"/>
                    </pic:cNvPicPr>
                  </pic:nvPicPr>
                  <pic:blipFill>
                    <a:blip r:embed="rId8"/>
                    <a:srcRect l="8" r="8"/>
                    <a:stretch>
                      <a:fillRect/>
                    </a:stretch>
                  </pic:blipFill>
                  <pic:spPr>
                    <a:xfrm>
                      <a:off x="0" y="0"/>
                      <a:ext cx="5535930" cy="3916680"/>
                    </a:xfrm>
                    <a:prstGeom prst="rect">
                      <a:avLst/>
                    </a:prstGeom>
                  </pic:spPr>
                </pic:pic>
              </a:graphicData>
            </a:graphic>
          </wp:inline>
        </w:drawing>
      </w:r>
    </w:p>
    <w:p w14:paraId="44F77302">
      <w:pPr>
        <w:widowControl w:val="0"/>
        <w:kinsoku/>
        <w:autoSpaceDE/>
        <w:autoSpaceDN/>
        <w:adjustRightInd/>
        <w:snapToGrid/>
        <w:spacing w:before="0" w:beforeLines="0" w:line="560" w:lineRule="exact"/>
        <w:ind w:firstLine="600" w:firstLineChars="200"/>
        <w:jc w:val="both"/>
        <w:textAlignment w:val="auto"/>
        <w:rPr>
          <w:rFonts w:hint="default" w:ascii="Times New Roman" w:hAnsi="Times New Roman" w:eastAsia="方正仿宋_GB2312" w:cs="Times New Roman"/>
          <w:b w:val="0"/>
          <w:bCs w:val="0"/>
          <w:snapToGrid/>
          <w:kern w:val="2"/>
          <w:sz w:val="30"/>
          <w:szCs w:val="30"/>
          <w:highlight w:val="none"/>
          <w:lang w:val="en-US" w:eastAsia="zh-CN"/>
        </w:rPr>
      </w:pPr>
      <w:r>
        <w:rPr>
          <w:rFonts w:hint="default" w:ascii="Times New Roman" w:hAnsi="Times New Roman" w:eastAsia="方正仿宋_GB2312" w:cs="Times New Roman"/>
          <w:b w:val="0"/>
          <w:bCs w:val="0"/>
          <w:snapToGrid/>
          <w:kern w:val="2"/>
          <w:sz w:val="30"/>
          <w:szCs w:val="30"/>
          <w:highlight w:val="none"/>
          <w:lang w:val="en-US" w:eastAsia="zh-CN"/>
        </w:rPr>
        <w:t>3.村域空间结构规划图</w:t>
      </w:r>
    </w:p>
    <w:p w14:paraId="403D9BA2">
      <w:pPr>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drawing>
          <wp:inline distT="0" distB="0" distL="114300" distR="114300">
            <wp:extent cx="5542280" cy="3918585"/>
            <wp:effectExtent l="0" t="0" r="5080" b="13335"/>
            <wp:docPr id="4" name="图片 4" descr="D:/项目/公示文件/洼子村公示图/村域空间结构.png村域空间结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项目/公示文件/洼子村公示图/村域空间结构.png村域空间结构"/>
                    <pic:cNvPicPr>
                      <a:picLocks noChangeAspect="1"/>
                    </pic:cNvPicPr>
                  </pic:nvPicPr>
                  <pic:blipFill>
                    <a:blip r:embed="rId9"/>
                    <a:srcRect t="6" b="6"/>
                    <a:stretch>
                      <a:fillRect/>
                    </a:stretch>
                  </pic:blipFill>
                  <pic:spPr>
                    <a:xfrm>
                      <a:off x="0" y="0"/>
                      <a:ext cx="5542280" cy="3918585"/>
                    </a:xfrm>
                    <a:prstGeom prst="rect">
                      <a:avLst/>
                    </a:prstGeom>
                  </pic:spPr>
                </pic:pic>
              </a:graphicData>
            </a:graphic>
          </wp:inline>
        </w:drawing>
      </w:r>
    </w:p>
    <w:p w14:paraId="7C6B4F09">
      <w:pPr>
        <w:widowControl w:val="0"/>
        <w:kinsoku/>
        <w:autoSpaceDE/>
        <w:autoSpaceDN/>
        <w:adjustRightInd/>
        <w:snapToGrid/>
        <w:spacing w:before="0" w:beforeLines="0" w:line="560" w:lineRule="exact"/>
        <w:ind w:firstLine="600" w:firstLineChars="200"/>
        <w:jc w:val="both"/>
        <w:textAlignment w:val="auto"/>
        <w:rPr>
          <w:rFonts w:hint="default" w:ascii="Times New Roman" w:hAnsi="Times New Roman" w:eastAsia="方正仿宋_GB2312" w:cs="Times New Roman"/>
          <w:b w:val="0"/>
          <w:bCs w:val="0"/>
          <w:snapToGrid/>
          <w:kern w:val="2"/>
          <w:sz w:val="30"/>
          <w:szCs w:val="30"/>
          <w:highlight w:val="none"/>
          <w:lang w:val="en-US" w:eastAsia="zh-CN"/>
        </w:rPr>
      </w:pPr>
      <w:r>
        <w:rPr>
          <w:rFonts w:hint="default" w:ascii="Times New Roman" w:hAnsi="Times New Roman" w:eastAsia="方正仿宋_GB2312" w:cs="Times New Roman"/>
          <w:b w:val="0"/>
          <w:bCs w:val="0"/>
          <w:snapToGrid/>
          <w:kern w:val="2"/>
          <w:sz w:val="30"/>
          <w:szCs w:val="30"/>
          <w:highlight w:val="none"/>
          <w:lang w:val="en-US" w:eastAsia="zh-CN"/>
        </w:rPr>
        <w:t>4.村域国土空间规划图</w:t>
      </w:r>
    </w:p>
    <w:p w14:paraId="561ECAEA">
      <w:pPr>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drawing>
          <wp:inline distT="0" distB="0" distL="114300" distR="114300">
            <wp:extent cx="5539740" cy="3918585"/>
            <wp:effectExtent l="0" t="0" r="7620" b="13335"/>
            <wp:docPr id="5" name="图片 5" descr="D:/项目/公示文件/洼子村公示图/规划图.png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项目/公示文件/洼子村公示图/规划图.png规划图"/>
                    <pic:cNvPicPr>
                      <a:picLocks noChangeAspect="1"/>
                    </pic:cNvPicPr>
                  </pic:nvPicPr>
                  <pic:blipFill>
                    <a:blip r:embed="rId10"/>
                    <a:srcRect l="8" r="8"/>
                    <a:stretch>
                      <a:fillRect/>
                    </a:stretch>
                  </pic:blipFill>
                  <pic:spPr>
                    <a:xfrm>
                      <a:off x="0" y="0"/>
                      <a:ext cx="5539740" cy="3918585"/>
                    </a:xfrm>
                    <a:prstGeom prst="rect">
                      <a:avLst/>
                    </a:prstGeom>
                  </pic:spPr>
                </pic:pic>
              </a:graphicData>
            </a:graphic>
          </wp:inline>
        </w:drawing>
      </w:r>
    </w:p>
    <w:p w14:paraId="0C89B141">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yellow"/>
          <w:lang w:val="en-US" w:eastAsia="zh-CN"/>
        </w:rPr>
      </w:pPr>
    </w:p>
    <w:p w14:paraId="473A0BA2">
      <w:pPr>
        <w:widowControl w:val="0"/>
        <w:kinsoku/>
        <w:autoSpaceDE/>
        <w:autoSpaceDN/>
        <w:adjustRightInd/>
        <w:snapToGrid/>
        <w:spacing w:before="0" w:beforeLines="0" w:line="560" w:lineRule="exact"/>
        <w:ind w:firstLine="600" w:firstLineChars="200"/>
        <w:jc w:val="both"/>
        <w:textAlignment w:val="auto"/>
        <w:rPr>
          <w:rFonts w:hint="default" w:ascii="Times New Roman" w:hAnsi="Times New Roman" w:eastAsia="方正仿宋_GB2312" w:cs="Times New Roman"/>
          <w:b w:val="0"/>
          <w:bCs w:val="0"/>
          <w:snapToGrid/>
          <w:kern w:val="2"/>
          <w:sz w:val="30"/>
          <w:szCs w:val="30"/>
          <w:highlight w:val="none"/>
          <w:lang w:val="en-US" w:eastAsia="zh-CN"/>
        </w:rPr>
      </w:pPr>
      <w:r>
        <w:rPr>
          <w:rFonts w:hint="default" w:ascii="Times New Roman" w:hAnsi="Times New Roman" w:eastAsia="方正仿宋_GB2312" w:cs="Times New Roman"/>
          <w:b w:val="0"/>
          <w:bCs w:val="0"/>
          <w:snapToGrid/>
          <w:kern w:val="2"/>
          <w:sz w:val="30"/>
          <w:szCs w:val="30"/>
          <w:highlight w:val="none"/>
          <w:lang w:val="en-US" w:eastAsia="zh-CN"/>
        </w:rPr>
        <w:t>5.产业空间发展引导图</w:t>
      </w:r>
    </w:p>
    <w:p w14:paraId="51972416">
      <w:pPr>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drawing>
          <wp:inline distT="0" distB="0" distL="114300" distR="114300">
            <wp:extent cx="5537835" cy="3916680"/>
            <wp:effectExtent l="0" t="0" r="9525" b="0"/>
            <wp:docPr id="6" name="图片 6" descr="D:/项目/公示文件/洼子村公示图/产业.png产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项目/公示文件/洼子村公示图/产业.png产业"/>
                    <pic:cNvPicPr>
                      <a:picLocks noChangeAspect="1"/>
                    </pic:cNvPicPr>
                  </pic:nvPicPr>
                  <pic:blipFill>
                    <a:blip r:embed="rId11"/>
                    <a:srcRect l="8" r="8"/>
                    <a:stretch>
                      <a:fillRect/>
                    </a:stretch>
                  </pic:blipFill>
                  <pic:spPr>
                    <a:xfrm>
                      <a:off x="0" y="0"/>
                      <a:ext cx="5537835" cy="3916680"/>
                    </a:xfrm>
                    <a:prstGeom prst="rect">
                      <a:avLst/>
                    </a:prstGeom>
                  </pic:spPr>
                </pic:pic>
              </a:graphicData>
            </a:graphic>
          </wp:inline>
        </w:drawing>
      </w:r>
    </w:p>
    <w:p w14:paraId="00841FE8">
      <w:pPr>
        <w:widowControl w:val="0"/>
        <w:numPr>
          <w:ilvl w:val="0"/>
          <w:numId w:val="1"/>
        </w:numPr>
        <w:kinsoku/>
        <w:autoSpaceDE/>
        <w:autoSpaceDN/>
        <w:adjustRightInd/>
        <w:snapToGrid/>
        <w:spacing w:before="0" w:beforeLines="0" w:line="560" w:lineRule="exact"/>
        <w:ind w:firstLine="600" w:firstLineChars="200"/>
        <w:jc w:val="both"/>
        <w:textAlignment w:val="auto"/>
        <w:rPr>
          <w:rFonts w:hint="default" w:ascii="Times New Roman" w:hAnsi="Times New Roman" w:eastAsia="方正仿宋_GB2312" w:cs="Times New Roman"/>
          <w:b w:val="0"/>
          <w:bCs w:val="0"/>
          <w:snapToGrid/>
          <w:kern w:val="2"/>
          <w:sz w:val="30"/>
          <w:szCs w:val="30"/>
          <w:highlight w:val="none"/>
          <w:lang w:val="en-US" w:eastAsia="zh-CN"/>
        </w:rPr>
      </w:pPr>
      <w:r>
        <w:rPr>
          <w:rFonts w:hint="default" w:ascii="Times New Roman" w:hAnsi="Times New Roman" w:eastAsia="方正仿宋_GB2312" w:cs="Times New Roman"/>
          <w:b w:val="0"/>
          <w:bCs w:val="0"/>
          <w:snapToGrid/>
          <w:kern w:val="2"/>
          <w:sz w:val="30"/>
          <w:szCs w:val="30"/>
          <w:highlight w:val="none"/>
          <w:lang w:val="en-US" w:eastAsia="zh-CN"/>
        </w:rPr>
        <w:t>村民版规划图</w:t>
      </w:r>
    </w:p>
    <w:p w14:paraId="2F4793A1">
      <w:pPr>
        <w:widowControl w:val="0"/>
        <w:numPr>
          <w:ilvl w:val="0"/>
          <w:numId w:val="0"/>
        </w:numPr>
        <w:kinsoku/>
        <w:autoSpaceDE/>
        <w:autoSpaceDN/>
        <w:adjustRightInd/>
        <w:snapToGrid/>
        <w:spacing w:before="0" w:beforeLines="0" w:line="240" w:lineRule="auto"/>
        <w:jc w:val="both"/>
        <w:textAlignment w:val="auto"/>
        <w:rPr>
          <w:rFonts w:hint="default" w:ascii="仿宋" w:hAnsi="仿宋" w:eastAsia="仿宋" w:cs="Times New Roman"/>
          <w:b w:val="0"/>
          <w:bCs w:val="0"/>
          <w:snapToGrid/>
          <w:kern w:val="2"/>
          <w:sz w:val="30"/>
          <w:szCs w:val="30"/>
          <w:highlight w:val="none"/>
          <w:lang w:val="en-US" w:eastAsia="zh-CN"/>
        </w:rPr>
      </w:pPr>
      <w:r>
        <w:rPr>
          <w:rFonts w:hint="default" w:ascii="仿宋" w:hAnsi="仿宋" w:eastAsia="仿宋" w:cs="Times New Roman"/>
          <w:b w:val="0"/>
          <w:bCs w:val="0"/>
          <w:snapToGrid/>
          <w:kern w:val="2"/>
          <w:sz w:val="30"/>
          <w:szCs w:val="30"/>
          <w:highlight w:val="none"/>
          <w:lang w:val="en-US" w:eastAsia="zh-CN"/>
        </w:rPr>
        <w:drawing>
          <wp:inline distT="0" distB="0" distL="114300" distR="114300">
            <wp:extent cx="5542280" cy="3918585"/>
            <wp:effectExtent l="0" t="0" r="5080" b="13335"/>
            <wp:docPr id="11" name="图片 11" descr="D:/项目/公示文件/洼子村公示图/村民规划.png村民规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项目/公示文件/洼子村公示图/村民规划.png村民规划"/>
                    <pic:cNvPicPr>
                      <a:picLocks noChangeAspect="1"/>
                    </pic:cNvPicPr>
                  </pic:nvPicPr>
                  <pic:blipFill>
                    <a:blip r:embed="rId12"/>
                    <a:srcRect t="6" b="6"/>
                    <a:stretch>
                      <a:fillRect/>
                    </a:stretch>
                  </pic:blipFill>
                  <pic:spPr>
                    <a:xfrm>
                      <a:off x="0" y="0"/>
                      <a:ext cx="5542280" cy="3918585"/>
                    </a:xfrm>
                    <a:prstGeom prst="rect">
                      <a:avLst/>
                    </a:prstGeom>
                  </pic:spPr>
                </pic:pic>
              </a:graphicData>
            </a:graphic>
          </wp:inline>
        </w:drawing>
      </w:r>
    </w:p>
    <w:sectPr>
      <w:footerReference r:id="rId5" w:type="default"/>
      <w:pgSz w:w="11906" w:h="16839"/>
      <w:pgMar w:top="1431" w:right="1389" w:bottom="1152" w:left="1785" w:header="0" w:footer="987"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4941E95-36E9-4B69-9406-1301EF79881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1DF1D1B2-4B9B-4624-8355-72A6E0D2898B}"/>
  </w:font>
  <w:font w:name="思源宋体 CN Heavy">
    <w:altName w:val="宋体"/>
    <w:panose1 w:val="02020900000000000000"/>
    <w:charset w:val="86"/>
    <w:family w:val="auto"/>
    <w:pitch w:val="default"/>
    <w:sig w:usb0="00000000" w:usb1="00000000" w:usb2="00000016" w:usb3="00000000" w:csb0="60060107" w:csb1="00000000"/>
  </w:font>
  <w:font w:name="方正仿宋_GB2312">
    <w:panose1 w:val="02000000000000000000"/>
    <w:charset w:val="86"/>
    <w:family w:val="auto"/>
    <w:pitch w:val="default"/>
    <w:sig w:usb0="A00002BF" w:usb1="184F6CFA" w:usb2="00000012" w:usb3="00000000" w:csb0="00040001" w:csb1="00000000"/>
    <w:embedRegular r:id="rId3" w:fontKey="{FDBBCCC7-83D0-467F-9959-9EB06B30EBC8}"/>
  </w:font>
  <w:font w:name="方正公文小标宋">
    <w:panose1 w:val="02000500000000000000"/>
    <w:charset w:val="86"/>
    <w:family w:val="auto"/>
    <w:pitch w:val="default"/>
    <w:sig w:usb0="A00002BF" w:usb1="38CF7CFA" w:usb2="00000016" w:usb3="00000000" w:csb0="00040001" w:csb1="00000000"/>
    <w:embedRegular r:id="rId4" w:fontKey="{853200D5-D7C3-4F05-B6E8-AD781D0C4A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95A58">
    <w:pPr>
      <w:spacing w:line="169" w:lineRule="auto"/>
      <w:ind w:left="4090"/>
      <w:rPr>
        <w:rFonts w:ascii="Calibri" w:hAnsi="Calibri" w:eastAsia="Calibri" w:cs="Calibr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A2B7CE"/>
    <w:multiLevelType w:val="singleLevel"/>
    <w:tmpl w:val="05A2B7CE"/>
    <w:lvl w:ilvl="0" w:tentative="0">
      <w:start w:val="6"/>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50F6813"/>
    <w:rsid w:val="054D6C58"/>
    <w:rsid w:val="07CF228A"/>
    <w:rsid w:val="080928F0"/>
    <w:rsid w:val="104C585C"/>
    <w:rsid w:val="11AD4D91"/>
    <w:rsid w:val="1D65301C"/>
    <w:rsid w:val="1DA26859"/>
    <w:rsid w:val="22822194"/>
    <w:rsid w:val="22B934C3"/>
    <w:rsid w:val="22F54D73"/>
    <w:rsid w:val="24450448"/>
    <w:rsid w:val="258D2C66"/>
    <w:rsid w:val="268B633D"/>
    <w:rsid w:val="28B1694E"/>
    <w:rsid w:val="31C32BBE"/>
    <w:rsid w:val="383B1414"/>
    <w:rsid w:val="3C442AC4"/>
    <w:rsid w:val="3CE04016"/>
    <w:rsid w:val="3D6D686E"/>
    <w:rsid w:val="49566680"/>
    <w:rsid w:val="4ECE3FD6"/>
    <w:rsid w:val="51594FBC"/>
    <w:rsid w:val="5181771E"/>
    <w:rsid w:val="5211454B"/>
    <w:rsid w:val="572908DD"/>
    <w:rsid w:val="58CD1825"/>
    <w:rsid w:val="58CF0CC3"/>
    <w:rsid w:val="620D0B5A"/>
    <w:rsid w:val="62680AD9"/>
    <w:rsid w:val="654900FB"/>
    <w:rsid w:val="6D070E2D"/>
    <w:rsid w:val="6E4224F5"/>
    <w:rsid w:val="6FC211D5"/>
    <w:rsid w:val="703F3945"/>
    <w:rsid w:val="713C48EB"/>
    <w:rsid w:val="735B2F69"/>
    <w:rsid w:val="752974DB"/>
    <w:rsid w:val="77C23FF0"/>
    <w:rsid w:val="78A0407E"/>
    <w:rsid w:val="7EDF123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30"/>
      <w:szCs w:val="30"/>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6</Pages>
  <Words>1479</Words>
  <Characters>1577</Characters>
  <TotalTime>100</TotalTime>
  <ScaleCrop>false</ScaleCrop>
  <LinksUpToDate>false</LinksUpToDate>
  <CharactersWithSpaces>1578</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2025-07-02T09:30:00Z</dcterms:created>
  <dc:creator>于承洋</dc:creator>
  <cp:lastModifiedBy>大瓶盖</cp:lastModifiedBy>
  <dcterms:modified xsi:type="dcterms:W3CDTF">2025-07-29T01:28:01Z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2025-07-19T15:19:33Z</vt:filetime>
  </property>
  <property fmtid="{D5CDD505-2E9C-101B-9397-08002B2CF9AE}" pid="4" name="KSOTemplateDocerSaveRecord">
    <vt:lpwstr>eyJoZGlkIjoiYjdiMGYwODAxZGQ5ZGE3ZWE5ZmQwZGQyMjc4NmNjYmMiLCJ1c2VySWQiOiI0MzU1MzQ5NDAifQ==</vt:lpwstr>
  </property>
  <property fmtid="{D5CDD505-2E9C-101B-9397-08002B2CF9AE}" pid="5" name="KSOProductBuildVer">
    <vt:lpwstr>2052-12.1.0.21915</vt:lpwstr>
  </property>
  <property fmtid="{D5CDD505-2E9C-101B-9397-08002B2CF9AE}" pid="6" name="ICV">
    <vt:lpwstr>8F32337276DE46BCB4188BE9923C083C_13</vt:lpwstr>
  </property>
</Properties>
</file>