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黑体" w:hAnsi="黑体" w:eastAsia="黑体"/>
          <w:b/>
          <w:bCs/>
          <w:sz w:val="36"/>
        </w:rPr>
      </w:pPr>
      <w:bookmarkStart w:id="9" w:name="_GoBack"/>
      <w:r>
        <w:rPr>
          <w:rFonts w:hint="eastAsia" w:ascii="黑体" w:hAnsi="黑体" w:eastAsia="黑体"/>
          <w:b/>
          <w:bCs/>
          <w:sz w:val="36"/>
        </w:rPr>
        <w:t>庄河市吴炉镇殿义村村庄规划（2021-2035年）</w:t>
      </w:r>
    </w:p>
    <w:bookmarkEnd w:id="9"/>
    <w:p>
      <w:pPr>
        <w:spacing w:line="600" w:lineRule="exact"/>
        <w:rPr>
          <w:rFonts w:hint="eastAsia"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一、基本情况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1.区域位置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殿义村位于辽宁省大连市东北部、庄河市南部、吴炉镇北部，吴炉镇和大营镇交界处。殿义村距离庄河市区约22公里，距离吴炉镇区约10公里。乡道</w:t>
      </w:r>
      <w:r>
        <w:rPr>
          <w:rFonts w:ascii="仿宋" w:hAnsi="仿宋" w:eastAsia="仿宋"/>
          <w:sz w:val="32"/>
        </w:rPr>
        <w:t>杜小线在殿义村通过，</w:t>
      </w:r>
      <w:r>
        <w:rPr>
          <w:rFonts w:hint="eastAsia" w:ascii="仿宋" w:hAnsi="仿宋" w:eastAsia="仿宋"/>
          <w:sz w:val="32"/>
        </w:rPr>
        <w:t>向南联系G11国道和</w:t>
      </w:r>
      <w:r>
        <w:fldChar w:fldCharType="begin"/>
      </w:r>
      <w:r>
        <w:instrText xml:space="preserve"> HYPERLINK "https://baike.baidu.com/item/201%E5%9B%BD%E9%81%93/2846836" \t "_blank" </w:instrText>
      </w:r>
      <w:r>
        <w:fldChar w:fldCharType="separate"/>
      </w:r>
      <w:r>
        <w:rPr>
          <w:rFonts w:ascii="仿宋" w:hAnsi="仿宋" w:eastAsia="仿宋"/>
          <w:sz w:val="32"/>
        </w:rPr>
        <w:t>201国道</w:t>
      </w:r>
      <w:r>
        <w:rPr>
          <w:rFonts w:ascii="仿宋" w:hAnsi="仿宋" w:eastAsia="仿宋"/>
          <w:sz w:val="32"/>
        </w:rPr>
        <w:fldChar w:fldCharType="end"/>
      </w:r>
      <w:r>
        <w:rPr>
          <w:rFonts w:hint="eastAsia" w:ascii="仿宋" w:hAnsi="仿宋" w:eastAsia="仿宋"/>
          <w:sz w:val="32"/>
        </w:rPr>
        <w:t>，村域</w:t>
      </w:r>
      <w:r>
        <w:rPr>
          <w:rFonts w:ascii="仿宋" w:hAnsi="仿宋" w:eastAsia="仿宋"/>
          <w:sz w:val="32"/>
        </w:rPr>
        <w:t>交通便利，</w:t>
      </w:r>
      <w:r>
        <w:rPr>
          <w:rFonts w:hint="eastAsia" w:ascii="仿宋" w:hAnsi="仿宋" w:eastAsia="仿宋"/>
          <w:sz w:val="32"/>
        </w:rPr>
        <w:t>自然</w:t>
      </w:r>
      <w:r>
        <w:rPr>
          <w:rFonts w:ascii="仿宋" w:hAnsi="仿宋" w:eastAsia="仿宋"/>
          <w:sz w:val="32"/>
        </w:rPr>
        <w:t>环境优越。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2.规划</w:t>
      </w:r>
      <w:r>
        <w:rPr>
          <w:rFonts w:ascii="仿宋" w:hAnsi="仿宋" w:eastAsia="仿宋"/>
          <w:sz w:val="32"/>
        </w:rPr>
        <w:t>范围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bookmarkStart w:id="0" w:name="_Hlk182845790"/>
      <w:r>
        <w:rPr>
          <w:rFonts w:hint="eastAsia" w:ascii="仿宋" w:hAnsi="仿宋" w:eastAsia="仿宋"/>
          <w:sz w:val="32"/>
        </w:rPr>
        <w:t>规划范围为吴炉镇殿义村全部村域国土空间，村域范围南接本镇徐营村、榆树房村，东邻大营镇四门孙村，北部和西部临</w:t>
      </w:r>
      <w:r>
        <w:fldChar w:fldCharType="begin"/>
      </w:r>
      <w:r>
        <w:instrText xml:space="preserve"> HYPERLINK "https://baike.baidu.com/item/%E8%8B%B1%E9%82%A3%E6%B2%B3/8709481" \t "_blank" </w:instrText>
      </w:r>
      <w:r>
        <w:fldChar w:fldCharType="separate"/>
      </w:r>
      <w:r>
        <w:rPr>
          <w:rFonts w:ascii="仿宋" w:hAnsi="仿宋" w:eastAsia="仿宋"/>
          <w:sz w:val="32"/>
        </w:rPr>
        <w:t>英那河</w:t>
      </w:r>
      <w:r>
        <w:rPr>
          <w:rFonts w:ascii="仿宋" w:hAnsi="仿宋" w:eastAsia="仿宋"/>
          <w:sz w:val="32"/>
        </w:rPr>
        <w:fldChar w:fldCharType="end"/>
      </w:r>
      <w:r>
        <w:rPr>
          <w:rFonts w:ascii="仿宋" w:hAnsi="仿宋" w:eastAsia="仿宋"/>
          <w:sz w:val="32"/>
        </w:rPr>
        <w:t>，与</w:t>
      </w:r>
      <w:r>
        <w:rPr>
          <w:rFonts w:hint="eastAsia" w:ascii="仿宋" w:hAnsi="仿宋" w:eastAsia="仿宋"/>
          <w:sz w:val="32"/>
        </w:rPr>
        <w:t>大营镇大营村、红丰村、苗家村</w:t>
      </w:r>
      <w:r>
        <w:rPr>
          <w:rFonts w:ascii="仿宋" w:hAnsi="仿宋" w:eastAsia="仿宋"/>
          <w:sz w:val="32"/>
        </w:rPr>
        <w:t>隔河相望，</w:t>
      </w:r>
      <w:r>
        <w:rPr>
          <w:rFonts w:hint="eastAsia" w:ascii="仿宋" w:hAnsi="仿宋" w:eastAsia="仿宋"/>
          <w:sz w:val="32"/>
        </w:rPr>
        <w:t>规划面积9.55平方公里。</w:t>
      </w:r>
    </w:p>
    <w:bookmarkEnd w:id="0"/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3.规划期限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bookmarkStart w:id="1" w:name="_Hlk204949741"/>
      <w:r>
        <w:rPr>
          <w:rFonts w:hint="eastAsia" w:ascii="仿宋" w:hAnsi="仿宋" w:eastAsia="仿宋"/>
          <w:sz w:val="32"/>
        </w:rPr>
        <w:t>规划基期2020年，近期至2025年，远期至2035年。</w:t>
      </w:r>
    </w:p>
    <w:bookmarkEnd w:id="1"/>
    <w:p>
      <w:pPr>
        <w:spacing w:line="600" w:lineRule="exact"/>
        <w:rPr>
          <w:rFonts w:hint="eastAsia"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二、国土空间管控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color w:val="FF0000"/>
          <w:sz w:val="32"/>
        </w:rPr>
      </w:pPr>
      <w:r>
        <w:rPr>
          <w:rFonts w:hint="eastAsia" w:ascii="仿宋" w:hAnsi="仿宋" w:eastAsia="仿宋"/>
          <w:sz w:val="32"/>
        </w:rPr>
        <w:t>落实《大连市庄河市吴炉镇国土空间总体规划（2021-2035年）》空间管控内容，殿义村</w:t>
      </w:r>
      <w:r>
        <w:rPr>
          <w:rFonts w:ascii="仿宋" w:hAnsi="仿宋" w:eastAsia="仿宋"/>
          <w:sz w:val="32"/>
        </w:rPr>
        <w:t>定位为</w:t>
      </w:r>
      <w:r>
        <w:rPr>
          <w:rFonts w:hint="eastAsia" w:ascii="仿宋" w:hAnsi="仿宋" w:eastAsia="仿宋"/>
          <w:sz w:val="32"/>
        </w:rPr>
        <w:t>集聚建设类村庄，预测至2035年乡村常住人口约1200人。</w:t>
      </w:r>
      <w:r>
        <w:rPr>
          <w:rFonts w:ascii="仿宋" w:hAnsi="仿宋" w:eastAsia="仿宋"/>
          <w:sz w:val="32"/>
        </w:rPr>
        <w:t>约束性指标包括：永久基本农田</w:t>
      </w:r>
      <w:r>
        <w:rPr>
          <w:rFonts w:hint="eastAsia" w:ascii="仿宋" w:hAnsi="仿宋" w:eastAsia="仿宋"/>
          <w:sz w:val="32"/>
        </w:rPr>
        <w:t>≥507.93公顷</w:t>
      </w:r>
      <w:r>
        <w:rPr>
          <w:rFonts w:ascii="仿宋" w:hAnsi="仿宋" w:eastAsia="仿宋"/>
          <w:sz w:val="32"/>
        </w:rPr>
        <w:t>，耕地保有量</w:t>
      </w:r>
      <w:r>
        <w:rPr>
          <w:rFonts w:hint="eastAsia" w:ascii="仿宋" w:hAnsi="仿宋" w:eastAsia="仿宋"/>
          <w:sz w:val="32"/>
        </w:rPr>
        <w:t>≥517.70</w:t>
      </w:r>
      <w:r>
        <w:rPr>
          <w:rFonts w:ascii="仿宋" w:hAnsi="仿宋" w:eastAsia="仿宋"/>
          <w:sz w:val="32"/>
        </w:rPr>
        <w:t>公顷，湿地面积</w:t>
      </w:r>
      <w:r>
        <w:rPr>
          <w:rFonts w:hint="eastAsia" w:ascii="仿宋" w:hAnsi="仿宋" w:eastAsia="仿宋"/>
          <w:sz w:val="32"/>
        </w:rPr>
        <w:t>≥56.21</w:t>
      </w:r>
      <w:r>
        <w:rPr>
          <w:rFonts w:ascii="仿宋" w:hAnsi="仿宋" w:eastAsia="仿宋"/>
          <w:sz w:val="32"/>
        </w:rPr>
        <w:t>公顷</w:t>
      </w:r>
      <w:r>
        <w:rPr>
          <w:rFonts w:hint="eastAsia" w:ascii="仿宋" w:hAnsi="仿宋" w:eastAsia="仿宋"/>
          <w:sz w:val="32"/>
        </w:rPr>
        <w:t>；</w:t>
      </w:r>
      <w:r>
        <w:rPr>
          <w:rFonts w:hint="eastAsia" w:ascii="仿宋" w:hAnsi="仿宋" w:eastAsia="仿宋"/>
          <w:sz w:val="32"/>
          <w:szCs w:val="32"/>
        </w:rPr>
        <w:t>引导性指标包括：</w:t>
      </w:r>
      <w:r>
        <w:rPr>
          <w:rFonts w:ascii="仿宋" w:hAnsi="仿宋" w:eastAsia="仿宋"/>
          <w:sz w:val="32"/>
        </w:rPr>
        <w:t>村庄建设边界面积</w:t>
      </w:r>
      <w:r>
        <w:rPr>
          <w:rFonts w:hint="eastAsia" w:ascii="仿宋" w:hAnsi="仿宋" w:eastAsia="仿宋"/>
          <w:sz w:val="32"/>
        </w:rPr>
        <w:t>≤73.82</w:t>
      </w:r>
      <w:r>
        <w:rPr>
          <w:rFonts w:ascii="仿宋" w:hAnsi="仿宋" w:eastAsia="仿宋"/>
          <w:sz w:val="32"/>
        </w:rPr>
        <w:t>公顷。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1. 生态保护空间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优先确定生态保护空间289.35公顷，依托村域南部卧鹿山和北部英那河，形成以面状生态空间为主、以点状生态空间为辅、以带状生态空间为补充的生态保护格局和开敞空间体系，注重维护生态安全和生物多样性。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bookmarkStart w:id="2" w:name="_Hlk204920128"/>
      <w:r>
        <w:rPr>
          <w:rFonts w:ascii="仿宋" w:hAnsi="仿宋" w:eastAsia="仿宋"/>
          <w:sz w:val="32"/>
        </w:rPr>
        <w:t>湿地保护。落实上位规划确定</w:t>
      </w:r>
      <w:r>
        <w:rPr>
          <w:rFonts w:hint="eastAsia" w:ascii="仿宋" w:hAnsi="仿宋" w:eastAsia="仿宋"/>
          <w:sz w:val="32"/>
        </w:rPr>
        <w:t>的</w:t>
      </w:r>
      <w:r>
        <w:rPr>
          <w:rFonts w:ascii="仿宋" w:hAnsi="仿宋" w:eastAsia="仿宋"/>
          <w:sz w:val="32"/>
        </w:rPr>
        <w:t>湿地面积约</w:t>
      </w:r>
      <w:r>
        <w:rPr>
          <w:rFonts w:hint="eastAsia" w:ascii="仿宋" w:hAnsi="仿宋" w:eastAsia="仿宋"/>
          <w:sz w:val="32"/>
        </w:rPr>
        <w:t>56.21</w:t>
      </w:r>
      <w:r>
        <w:rPr>
          <w:rFonts w:ascii="仿宋" w:hAnsi="仿宋" w:eastAsia="仿宋"/>
          <w:sz w:val="32"/>
        </w:rPr>
        <w:t>公顷，</w:t>
      </w:r>
      <w:bookmarkEnd w:id="2"/>
      <w:bookmarkStart w:id="3" w:name="_Hlk204924038"/>
      <w:r>
        <w:rPr>
          <w:rFonts w:ascii="仿宋" w:hAnsi="仿宋" w:eastAsia="仿宋"/>
          <w:sz w:val="32"/>
        </w:rPr>
        <w:t>严格管控湿地</w:t>
      </w:r>
      <w:r>
        <w:rPr>
          <w:rFonts w:hint="eastAsia" w:ascii="仿宋" w:hAnsi="仿宋" w:eastAsia="仿宋"/>
          <w:sz w:val="32"/>
        </w:rPr>
        <w:t>范围内人为</w:t>
      </w:r>
      <w:r>
        <w:rPr>
          <w:rFonts w:ascii="仿宋" w:hAnsi="仿宋" w:eastAsia="仿宋"/>
          <w:sz w:val="32"/>
        </w:rPr>
        <w:t>活动，</w:t>
      </w:r>
      <w:bookmarkEnd w:id="3"/>
      <w:r>
        <w:rPr>
          <w:rFonts w:hint="eastAsia" w:ascii="仿宋" w:hAnsi="仿宋" w:eastAsia="仿宋"/>
          <w:sz w:val="32"/>
        </w:rPr>
        <w:t>禁止开（围）垦、排干自然湿地，永久性截断自然湿地水源；禁止擅自填埋自然湿地，擅自采砂、采矿、取土；禁止向湿地排放不符合水污染物排放标准的工业废水、生活污水及其他污染湿地的废水、污水，倾倒、堆放、丢弃、遗撒固体废物；禁止在湿地范围内过度放牧或者滥采野生植物，过度捕捞或者灭绝式捕捞，过度施肥、投药、投放饵料等污染湿地的种植养殖行为；禁止其他破坏湿地及其生态功能的行为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ascii="仿宋" w:hAnsi="仿宋" w:eastAsia="仿宋"/>
          <w:sz w:val="32"/>
        </w:rPr>
        <w:t>2.</w:t>
      </w:r>
      <w:r>
        <w:rPr>
          <w:rFonts w:hint="eastAsia" w:ascii="仿宋" w:hAnsi="仿宋" w:eastAsia="仿宋"/>
          <w:sz w:val="32"/>
        </w:rPr>
        <w:t xml:space="preserve"> 农业发展空间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保障农业发展空间591.75公顷，划定永久基本农田507.93公顷。优化农业生产空间布局，提高就近粮食保障能力和蔬菜自给率，落实最为严格的永久基本农田保护制度，保护相对集中、连片、优质的一般耕地。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永久基本农田保护。</w:t>
      </w:r>
      <w:r>
        <w:rPr>
          <w:rFonts w:ascii="仿宋" w:hAnsi="仿宋" w:eastAsia="仿宋"/>
          <w:sz w:val="32"/>
        </w:rPr>
        <w:t>永久基本农田划定后，任何单位和个人不得擅自调整、占用或者改变用途。</w:t>
      </w:r>
      <w:r>
        <w:rPr>
          <w:rFonts w:hint="eastAsia" w:ascii="仿宋" w:hAnsi="仿宋" w:eastAsia="仿宋"/>
          <w:sz w:val="32"/>
        </w:rPr>
        <w:t>禁止占用永久基本农田挖湖造景，建设绿化带，种植草皮等用于绿化装饰的植物，堆放固体废弃物，填埋垃圾，以及法律法规禁止的其他行为；严格控制非农业建设占用农用地；禁止占用永久基本农田发展林果业和挖塘养鱼；农村村民建住宅，不得占用永久基本农田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color w:val="FF0000"/>
          <w:sz w:val="32"/>
        </w:rPr>
      </w:pPr>
      <w:r>
        <w:rPr>
          <w:rFonts w:hint="eastAsia" w:ascii="仿宋" w:hAnsi="仿宋" w:eastAsia="仿宋"/>
          <w:sz w:val="32"/>
        </w:rPr>
        <w:t>耕地保护。围绕耕地数量、质量、生态进行“三位一体”耕地保护，禁止占用耕地建窑、建坟或者擅自在耕地上建房、挖砂、采石、采矿、取土；不得占用耕地挖湖造景、种植草皮；不得违规超标准在铁路、公路等用地红线外，以及河渠两侧、水库周边占用耕地种树建设绿化带；未经批准不得占用一般耕地实施国土绿化；未经批准工商企业等社会资本不得将通过流转获得的耕地转为林地、园地等；严格控制新增农村道路、设施农用地等使用一般耕地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3</w:t>
      </w:r>
      <w:r>
        <w:rPr>
          <w:rFonts w:ascii="仿宋" w:hAnsi="仿宋" w:eastAsia="仿宋"/>
          <w:sz w:val="32"/>
        </w:rPr>
        <w:t>.</w:t>
      </w:r>
      <w:r>
        <w:rPr>
          <w:rFonts w:hint="eastAsia" w:ascii="仿宋" w:hAnsi="仿宋" w:eastAsia="仿宋"/>
          <w:sz w:val="32"/>
        </w:rPr>
        <w:t xml:space="preserve"> 村庄发展空间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整理村庄发展空间73.82公顷，</w:t>
      </w:r>
      <w:bookmarkStart w:id="4" w:name="_Hlk212068079"/>
      <w:r>
        <w:rPr>
          <w:rFonts w:hint="eastAsia" w:ascii="仿宋" w:hAnsi="仿宋" w:eastAsia="仿宋"/>
          <w:sz w:val="32"/>
        </w:rPr>
        <w:t>全部位于村庄建设边界内。</w:t>
      </w:r>
      <w:bookmarkEnd w:id="4"/>
      <w:r>
        <w:rPr>
          <w:rFonts w:hint="eastAsia" w:ascii="仿宋" w:hAnsi="仿宋" w:eastAsia="仿宋"/>
          <w:sz w:val="32"/>
        </w:rPr>
        <w:t>引导乡村建设围绕乡村振兴、产村融合，向村庄建设用地边界内集聚，鼓励乡村建设用地复合利用。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bookmarkStart w:id="5" w:name="_Hlk204888998"/>
      <w:r>
        <w:rPr>
          <w:rFonts w:hint="eastAsia" w:ascii="仿宋" w:hAnsi="仿宋" w:eastAsia="仿宋"/>
          <w:sz w:val="32"/>
        </w:rPr>
        <w:t>新增建设以使用存量建设用地为主，围绕完善并提升公共服务设施和基础设施配置、加快人居环境整治、建设美丽宜居村庄展开，坚持村庄产业凸显农业农村特色，强化农村一二三产融合发展。以实现集聚建设类村庄服务能力为建设目标，新增建设项目主要包括文化服务中心、体育活动场地、老年人服务设施、便民商店、金融电信服务设施、科技服务点和快递投放点等。</w:t>
      </w:r>
    </w:p>
    <w:bookmarkEnd w:id="5"/>
    <w:p>
      <w:pPr>
        <w:spacing w:line="600" w:lineRule="exact"/>
        <w:rPr>
          <w:rFonts w:hint="eastAsia"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三、村域空间发展规划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1.产业</w:t>
      </w:r>
      <w:r>
        <w:rPr>
          <w:rFonts w:ascii="仿宋" w:hAnsi="仿宋" w:eastAsia="仿宋"/>
          <w:sz w:val="32"/>
        </w:rPr>
        <w:t>发展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bookmarkStart w:id="6" w:name="_Hlk119312385"/>
      <w:r>
        <w:rPr>
          <w:rFonts w:hint="eastAsia" w:ascii="仿宋" w:hAnsi="仿宋" w:eastAsia="仿宋"/>
          <w:sz w:val="32"/>
        </w:rPr>
        <w:t>第一产业基于现状食用菌、</w:t>
      </w:r>
      <w:r>
        <w:rPr>
          <w:rFonts w:hint="eastAsia" w:ascii="仿宋" w:hAnsi="仿宋" w:eastAsia="仿宋"/>
          <w:sz w:val="32"/>
          <w:lang w:val="en-US" w:eastAsia="zh-CN"/>
        </w:rPr>
        <w:t>草莓蓝莓</w:t>
      </w:r>
      <w:r>
        <w:rPr>
          <w:rFonts w:hint="eastAsia" w:ascii="仿宋" w:hAnsi="仿宋" w:eastAsia="仿宋"/>
          <w:sz w:val="32"/>
        </w:rPr>
        <w:t>等特色农产品，探索规模化、农场化农业生产模式，提升农副产品质量和产量；第二产业在与农业生产和生态保护不冲突的前提下，保留现状鱼粉厂，并对采矿废弃地进行生态修复；第三产业在夯实第一产业基础上，发挥自然环境优势，延伸产业链条，打造颐丰农场和鹿鸣山庄，增强一三产业融合，努力实现产业多元化发展。</w:t>
      </w:r>
      <w:bookmarkEnd w:id="6"/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2.人口规模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至</w:t>
      </w:r>
      <w:r>
        <w:rPr>
          <w:rFonts w:ascii="仿宋" w:hAnsi="仿宋" w:eastAsia="仿宋"/>
          <w:sz w:val="32"/>
        </w:rPr>
        <w:t>规划期末</w:t>
      </w:r>
      <w:r>
        <w:rPr>
          <w:rFonts w:hint="eastAsia" w:ascii="仿宋" w:hAnsi="仿宋" w:eastAsia="仿宋"/>
          <w:sz w:val="32"/>
        </w:rPr>
        <w:t>20</w:t>
      </w:r>
      <w:r>
        <w:rPr>
          <w:rFonts w:ascii="仿宋" w:hAnsi="仿宋" w:eastAsia="仿宋"/>
          <w:sz w:val="32"/>
        </w:rPr>
        <w:t>35</w:t>
      </w:r>
      <w:r>
        <w:rPr>
          <w:rFonts w:hint="eastAsia" w:ascii="仿宋" w:hAnsi="仿宋" w:eastAsia="仿宋"/>
          <w:sz w:val="32"/>
        </w:rPr>
        <w:t>年</w:t>
      </w:r>
      <w:r>
        <w:rPr>
          <w:rFonts w:ascii="仿宋" w:hAnsi="仿宋" w:eastAsia="仿宋"/>
          <w:sz w:val="32"/>
        </w:rPr>
        <w:t>，人口总数估算</w:t>
      </w:r>
      <w:r>
        <w:rPr>
          <w:rFonts w:hint="eastAsia" w:ascii="仿宋" w:hAnsi="仿宋" w:eastAsia="仿宋"/>
          <w:sz w:val="32"/>
        </w:rPr>
        <w:t>为1200人。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3.空间</w:t>
      </w:r>
      <w:r>
        <w:rPr>
          <w:rFonts w:ascii="仿宋" w:hAnsi="仿宋" w:eastAsia="仿宋"/>
          <w:sz w:val="32"/>
        </w:rPr>
        <w:t>发展布局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bookmarkStart w:id="7" w:name="_Hlk183376992"/>
      <w:bookmarkStart w:id="8" w:name="_Hlk183377103"/>
      <w:r>
        <w:rPr>
          <w:rFonts w:hint="eastAsia" w:ascii="仿宋" w:hAnsi="仿宋" w:eastAsia="仿宋"/>
          <w:sz w:val="32"/>
        </w:rPr>
        <w:t>规划形成“两心、三节点、两轴、四片区”的殿义村总体空间结构。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两心：依托设施农业产业区建立农业产业服务中心，提供农业产业的相关服务功能，增强产业发展辐射作用；依托休闲农业体验区设置休闲旅游服务中心，强化以点带面的休闲产业功能发展。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三节点：分别是位于孙营二屯、张炉屯、赵东屯的三处农业产业服务节点。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两轴：依托杜小线串联各类产业区形成产业发展主轴，向北通往大营镇蓝莓产业基地，向南通往吴炉镇核心区；依托唐殿线形成产业发展辐轴，对村域西部进行发展引领。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四片区</w:t>
      </w:r>
      <w:bookmarkEnd w:id="7"/>
      <w:bookmarkEnd w:id="8"/>
      <w:r>
        <w:rPr>
          <w:rFonts w:hint="eastAsia" w:ascii="仿宋" w:hAnsi="仿宋" w:eastAsia="仿宋"/>
          <w:sz w:val="32"/>
        </w:rPr>
        <w:t>：包括村域中部以精品香菇为主要产品的设施农业产业区，村域东部基于山水林果农田资源发展的休闲农业体验区，村域南部结合卧鹿山保护发展的林下中草药种植区，村域西北部基于传统种植业基础发展的粮食作物生产区。</w:t>
      </w:r>
    </w:p>
    <w:p>
      <w:pPr>
        <w:spacing w:line="600" w:lineRule="exact"/>
        <w:rPr>
          <w:rFonts w:hint="eastAsia"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四、人居环境整治规划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人居环境整治对象主要是相对集中布局</w:t>
      </w:r>
      <w:r>
        <w:rPr>
          <w:rFonts w:ascii="仿宋" w:hAnsi="仿宋" w:eastAsia="仿宋"/>
          <w:sz w:val="32"/>
        </w:rPr>
        <w:t>的</w:t>
      </w:r>
      <w:r>
        <w:rPr>
          <w:rFonts w:hint="eastAsia" w:ascii="仿宋" w:hAnsi="仿宋" w:eastAsia="仿宋"/>
          <w:sz w:val="32"/>
        </w:rPr>
        <w:t>村庄居民点。</w:t>
      </w:r>
      <w:r>
        <w:rPr>
          <w:rFonts w:ascii="仿宋" w:hAnsi="仿宋" w:eastAsia="仿宋"/>
          <w:sz w:val="32"/>
        </w:rPr>
        <w:t>结合农民生</w:t>
      </w:r>
      <w:r>
        <w:rPr>
          <w:rFonts w:hint="eastAsia" w:ascii="仿宋" w:hAnsi="仿宋" w:eastAsia="仿宋"/>
          <w:sz w:val="32"/>
        </w:rPr>
        <w:t>产</w:t>
      </w:r>
      <w:r>
        <w:rPr>
          <w:rFonts w:ascii="仿宋" w:hAnsi="仿宋" w:eastAsia="仿宋"/>
          <w:sz w:val="32"/>
        </w:rPr>
        <w:t>生活</w:t>
      </w:r>
      <w:r>
        <w:rPr>
          <w:rFonts w:hint="eastAsia" w:ascii="仿宋" w:hAnsi="仿宋" w:eastAsia="仿宋"/>
          <w:sz w:val="32"/>
        </w:rPr>
        <w:t>方式，从生态环境修复、公共设施完善、公用设施补充、景观风貌和建筑风貌美化等角度对村庄人居环境进行总体优化治理</w:t>
      </w:r>
      <w:r>
        <w:rPr>
          <w:rFonts w:ascii="仿宋" w:hAnsi="仿宋" w:eastAsia="仿宋"/>
          <w:sz w:val="32"/>
        </w:rPr>
        <w:t>。</w:t>
      </w:r>
    </w:p>
    <w:p>
      <w:pPr>
        <w:spacing w:line="600" w:lineRule="exact"/>
        <w:rPr>
          <w:rFonts w:hint="eastAsia"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五、近期整治</w:t>
      </w:r>
      <w:r>
        <w:rPr>
          <w:rFonts w:ascii="黑体" w:hAnsi="黑体" w:eastAsia="黑体"/>
          <w:b/>
          <w:bCs/>
          <w:sz w:val="32"/>
        </w:rPr>
        <w:t>规划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规划实施近期工作重点是对村庄公共服务设施、公用设施、道路交通设施进行完善和提升，主要增加项目包括村务室、科技服务点、文化活动室、农家书屋、健身广场、老年活动室、村级幸福院、老年人日间照料中心、便民农家店、金融服务点、快递投放点、停车场、公交站、自来水净水设施升级改造、排水边沟维修等建设项目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六、附图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1.区位示意图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535805" cy="3856355"/>
            <wp:effectExtent l="0" t="0" r="0" b="0"/>
            <wp:docPr id="3974916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91657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8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.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2.边界划定与管控图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535805" cy="3509010"/>
            <wp:effectExtent l="0" t="0" r="0" b="0"/>
            <wp:docPr id="2037925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256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50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3.村域空间结构规划图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535805" cy="3594735"/>
            <wp:effectExtent l="0" t="0" r="0" b="5715"/>
            <wp:docPr id="981117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1746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59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村域国土空间规划图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535805" cy="3496945"/>
            <wp:effectExtent l="0" t="0" r="0" b="8255"/>
            <wp:docPr id="19295522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52233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49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5.道路交通规划图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535805" cy="3671570"/>
            <wp:effectExtent l="0" t="0" r="0" b="5080"/>
            <wp:docPr id="5259038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0386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67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6.村庄设计与风貌引导图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535805" cy="3668395"/>
            <wp:effectExtent l="0" t="0" r="0" b="8255"/>
            <wp:docPr id="15345596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9641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66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GWZT-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GWZT-E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5F1"/>
    <w:rsid w:val="000078D4"/>
    <w:rsid w:val="0002593F"/>
    <w:rsid w:val="00036147"/>
    <w:rsid w:val="00037C09"/>
    <w:rsid w:val="00044D4B"/>
    <w:rsid w:val="00060F52"/>
    <w:rsid w:val="00070167"/>
    <w:rsid w:val="00075ACB"/>
    <w:rsid w:val="00075AFA"/>
    <w:rsid w:val="00081987"/>
    <w:rsid w:val="00085FE4"/>
    <w:rsid w:val="00091C96"/>
    <w:rsid w:val="000B04A1"/>
    <w:rsid w:val="000B2DA3"/>
    <w:rsid w:val="000C25EF"/>
    <w:rsid w:val="000C3368"/>
    <w:rsid w:val="00100379"/>
    <w:rsid w:val="00125F9C"/>
    <w:rsid w:val="00150299"/>
    <w:rsid w:val="00173853"/>
    <w:rsid w:val="00176634"/>
    <w:rsid w:val="00181F81"/>
    <w:rsid w:val="001A05B7"/>
    <w:rsid w:val="001B3C1B"/>
    <w:rsid w:val="001B41D7"/>
    <w:rsid w:val="001D6203"/>
    <w:rsid w:val="001E58AB"/>
    <w:rsid w:val="001F1686"/>
    <w:rsid w:val="001F2235"/>
    <w:rsid w:val="0020008F"/>
    <w:rsid w:val="00227183"/>
    <w:rsid w:val="00231B82"/>
    <w:rsid w:val="00263207"/>
    <w:rsid w:val="00263FF0"/>
    <w:rsid w:val="002837EE"/>
    <w:rsid w:val="002A49D9"/>
    <w:rsid w:val="002A7C04"/>
    <w:rsid w:val="002B7DDD"/>
    <w:rsid w:val="002C0734"/>
    <w:rsid w:val="002C7188"/>
    <w:rsid w:val="002D64AD"/>
    <w:rsid w:val="002D666E"/>
    <w:rsid w:val="002E5EF8"/>
    <w:rsid w:val="00310370"/>
    <w:rsid w:val="00313C6C"/>
    <w:rsid w:val="003174CF"/>
    <w:rsid w:val="00317CA4"/>
    <w:rsid w:val="0033023D"/>
    <w:rsid w:val="00347267"/>
    <w:rsid w:val="00360ED2"/>
    <w:rsid w:val="00364EA2"/>
    <w:rsid w:val="00370E15"/>
    <w:rsid w:val="003C310C"/>
    <w:rsid w:val="003F1A78"/>
    <w:rsid w:val="003F61C4"/>
    <w:rsid w:val="00402145"/>
    <w:rsid w:val="0041771C"/>
    <w:rsid w:val="0043481C"/>
    <w:rsid w:val="0045483D"/>
    <w:rsid w:val="0047308A"/>
    <w:rsid w:val="00485CF1"/>
    <w:rsid w:val="004A603D"/>
    <w:rsid w:val="004B1F53"/>
    <w:rsid w:val="004B3C2D"/>
    <w:rsid w:val="004B57B7"/>
    <w:rsid w:val="004E6C3C"/>
    <w:rsid w:val="00510993"/>
    <w:rsid w:val="00531D04"/>
    <w:rsid w:val="005549DB"/>
    <w:rsid w:val="005577A5"/>
    <w:rsid w:val="00562F40"/>
    <w:rsid w:val="00566862"/>
    <w:rsid w:val="005B2726"/>
    <w:rsid w:val="005E7397"/>
    <w:rsid w:val="005F3EF2"/>
    <w:rsid w:val="00601211"/>
    <w:rsid w:val="00606C07"/>
    <w:rsid w:val="00632A6B"/>
    <w:rsid w:val="00642563"/>
    <w:rsid w:val="00646A62"/>
    <w:rsid w:val="00655051"/>
    <w:rsid w:val="00684879"/>
    <w:rsid w:val="006B5BFB"/>
    <w:rsid w:val="006C6DF9"/>
    <w:rsid w:val="006D5FF6"/>
    <w:rsid w:val="006E1E09"/>
    <w:rsid w:val="006F63E1"/>
    <w:rsid w:val="00724EED"/>
    <w:rsid w:val="00741D4A"/>
    <w:rsid w:val="00774FB9"/>
    <w:rsid w:val="007945DB"/>
    <w:rsid w:val="007A3525"/>
    <w:rsid w:val="007A3A62"/>
    <w:rsid w:val="007C1572"/>
    <w:rsid w:val="007D360B"/>
    <w:rsid w:val="007E2899"/>
    <w:rsid w:val="007F57E6"/>
    <w:rsid w:val="00801908"/>
    <w:rsid w:val="00801B77"/>
    <w:rsid w:val="0080215F"/>
    <w:rsid w:val="008433F1"/>
    <w:rsid w:val="00852553"/>
    <w:rsid w:val="0085551D"/>
    <w:rsid w:val="008734B0"/>
    <w:rsid w:val="0089466F"/>
    <w:rsid w:val="008A1D5C"/>
    <w:rsid w:val="008B69C8"/>
    <w:rsid w:val="008D4B63"/>
    <w:rsid w:val="008D6477"/>
    <w:rsid w:val="009104E8"/>
    <w:rsid w:val="00916A73"/>
    <w:rsid w:val="00926B25"/>
    <w:rsid w:val="00970A77"/>
    <w:rsid w:val="00990057"/>
    <w:rsid w:val="00992C4F"/>
    <w:rsid w:val="009A4756"/>
    <w:rsid w:val="009D5874"/>
    <w:rsid w:val="009F271E"/>
    <w:rsid w:val="00A00999"/>
    <w:rsid w:val="00A21FD2"/>
    <w:rsid w:val="00AA354A"/>
    <w:rsid w:val="00AA37ED"/>
    <w:rsid w:val="00AB1B50"/>
    <w:rsid w:val="00AB3B53"/>
    <w:rsid w:val="00AC05F1"/>
    <w:rsid w:val="00AC7234"/>
    <w:rsid w:val="00B15BAD"/>
    <w:rsid w:val="00B34AF8"/>
    <w:rsid w:val="00B361C1"/>
    <w:rsid w:val="00B53A03"/>
    <w:rsid w:val="00B54B08"/>
    <w:rsid w:val="00B758FE"/>
    <w:rsid w:val="00BC21C1"/>
    <w:rsid w:val="00C000A7"/>
    <w:rsid w:val="00C12B80"/>
    <w:rsid w:val="00C57539"/>
    <w:rsid w:val="00C7049C"/>
    <w:rsid w:val="00CA2DB1"/>
    <w:rsid w:val="00CA54C8"/>
    <w:rsid w:val="00CB2280"/>
    <w:rsid w:val="00CB25A9"/>
    <w:rsid w:val="00CB612D"/>
    <w:rsid w:val="00CC17D3"/>
    <w:rsid w:val="00CD07D4"/>
    <w:rsid w:val="00D12317"/>
    <w:rsid w:val="00D31AE8"/>
    <w:rsid w:val="00D320DC"/>
    <w:rsid w:val="00D54683"/>
    <w:rsid w:val="00D83A33"/>
    <w:rsid w:val="00D90C9F"/>
    <w:rsid w:val="00DA6706"/>
    <w:rsid w:val="00DC789F"/>
    <w:rsid w:val="00DD74D2"/>
    <w:rsid w:val="00DD7B79"/>
    <w:rsid w:val="00E25FD9"/>
    <w:rsid w:val="00E37C8C"/>
    <w:rsid w:val="00E67646"/>
    <w:rsid w:val="00E847F3"/>
    <w:rsid w:val="00E87EBF"/>
    <w:rsid w:val="00E91D19"/>
    <w:rsid w:val="00E91DBD"/>
    <w:rsid w:val="00E93717"/>
    <w:rsid w:val="00EC752A"/>
    <w:rsid w:val="00EE7BDF"/>
    <w:rsid w:val="00EF20BC"/>
    <w:rsid w:val="00F00FA3"/>
    <w:rsid w:val="00F56254"/>
    <w:rsid w:val="00F6579C"/>
    <w:rsid w:val="00F76E3F"/>
    <w:rsid w:val="00F83296"/>
    <w:rsid w:val="00F97988"/>
    <w:rsid w:val="00FA0B01"/>
    <w:rsid w:val="00FB0D82"/>
    <w:rsid w:val="00FE138E"/>
    <w:rsid w:val="00FE552E"/>
    <w:rsid w:val="00FE60AB"/>
    <w:rsid w:val="0268365B"/>
    <w:rsid w:val="33B9763A"/>
    <w:rsid w:val="358B34B9"/>
    <w:rsid w:val="73316AFB"/>
    <w:rsid w:val="BF6EE367"/>
    <w:rsid w:val="CEFDDBBD"/>
    <w:rsid w:val="D34B8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1"/>
    <w:pPr>
      <w:autoSpaceDE w:val="0"/>
      <w:autoSpaceDN w:val="0"/>
      <w:ind w:left="685" w:hanging="574"/>
      <w:jc w:val="left"/>
    </w:pPr>
    <w:rPr>
      <w:rFonts w:ascii="微软雅黑" w:hAnsi="微软雅黑" w:eastAsia="微软雅黑" w:cs="微软雅黑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A91FC-D365-495A-A4A3-5ED6349CD1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8</Pages>
  <Words>2640</Words>
  <Characters>2836</Characters>
  <Lines>227</Lines>
  <Paragraphs>236</Paragraphs>
  <TotalTime>697</TotalTime>
  <ScaleCrop>false</ScaleCrop>
  <LinksUpToDate>false</LinksUpToDate>
  <CharactersWithSpaces>2842</CharactersWithSpaces>
  <Application>WPS Office_12.8.2.15290_F1E327BC-269C-435d-A152-05C5408002CA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2026-04-16T14:50:00Z</dcterms:created>
  <dc:creator>Administrator</dc:creator>
  <cp:lastModifiedBy>Gxkj-123</cp:lastModifiedBy>
  <cp:lastPrinted>2024-11-14T13:50:00Z</cp:lastPrinted>
  <dcterms:modified xsi:type="dcterms:W3CDTF">2026-04-29T08:57:12Z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eyJoZGlkIjoiZDkyMjVmNmM4YmIxYmYyYTUxMjc0OWExMTUwYTNjYjEiLCJ1c2VySWQiOiIzOTUyNDIzMTIifQ==</vt:lpwstr>
  </property>
  <property fmtid="{D5CDD505-2E9C-101B-9397-08002B2CF9AE}" pid="3" name="KSOProductBuildVer">
    <vt:lpwstr>2052-12.8.2.15290</vt:lpwstr>
  </property>
  <property fmtid="{D5CDD505-2E9C-101B-9397-08002B2CF9AE}" pid="4" name="ICV">
    <vt:lpwstr>C41D9BEAE3444529B476284E7DA7179B_12</vt:lpwstr>
  </property>
</Properties>
</file>