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outlineLvl w:val="9"/>
        <w:rPr>
          <w:rFonts w:hint="eastAsia" w:ascii="方正小标宋简体" w:hAnsi="方正小标宋简体" w:eastAsia="方正小标宋简体" w:cs="方正小标宋简体"/>
          <w:color w:val="222222"/>
          <w:kern w:val="0"/>
          <w:sz w:val="44"/>
          <w:szCs w:val="44"/>
          <w:shd w:val="clear" w:color="auto" w:fill="FFFFFF"/>
        </w:rPr>
      </w:pPr>
      <w:r>
        <w:rPr>
          <w:rFonts w:hint="eastAsia" w:ascii="方正小标宋简体" w:hAnsi="方正小标宋简体" w:eastAsia="方正小标宋简体" w:cs="方正小标宋简体"/>
          <w:color w:val="222222"/>
          <w:kern w:val="0"/>
          <w:sz w:val="44"/>
          <w:szCs w:val="44"/>
          <w:shd w:val="clear" w:color="auto" w:fill="FFFFFF"/>
          <w:lang w:eastAsia="zh-CN"/>
        </w:rPr>
        <w:t>大连金来矿业有限责任公司</w:t>
      </w:r>
      <w:r>
        <w:rPr>
          <w:rFonts w:hint="eastAsia" w:ascii="方正小标宋简体" w:hAnsi="方正小标宋简体" w:eastAsia="方正小标宋简体" w:cs="方正小标宋简体"/>
          <w:color w:val="222222"/>
          <w:kern w:val="0"/>
          <w:sz w:val="44"/>
          <w:szCs w:val="44"/>
          <w:shd w:val="clear" w:color="auto" w:fill="FFFFFF"/>
        </w:rPr>
        <w:t>“</w:t>
      </w:r>
      <w:r>
        <w:rPr>
          <w:rFonts w:hint="eastAsia" w:ascii="方正小标宋简体" w:hAnsi="方正小标宋简体" w:eastAsia="方正小标宋简体" w:cs="方正小标宋简体"/>
          <w:color w:val="222222"/>
          <w:kern w:val="0"/>
          <w:sz w:val="44"/>
          <w:szCs w:val="44"/>
          <w:shd w:val="clear" w:color="auto" w:fill="FFFFFF"/>
          <w:lang w:val="en-US" w:eastAsia="zh-CN"/>
        </w:rPr>
        <w:t>3</w:t>
      </w:r>
      <w:r>
        <w:rPr>
          <w:rFonts w:hint="eastAsia" w:ascii="方正小标宋简体" w:hAnsi="方正小标宋简体" w:eastAsia="方正小标宋简体" w:cs="方正小标宋简体"/>
          <w:color w:val="222222"/>
          <w:kern w:val="0"/>
          <w:sz w:val="44"/>
          <w:szCs w:val="44"/>
          <w:shd w:val="clear" w:color="auto" w:fill="FFFFFF"/>
        </w:rPr>
        <w:t>·3”</w:t>
      </w:r>
    </w:p>
    <w:p>
      <w:pPr>
        <w:widowControl/>
        <w:shd w:val="clear" w:color="auto" w:fill="FFFFFF"/>
        <w:spacing w:line="58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22222"/>
          <w:kern w:val="0"/>
          <w:sz w:val="44"/>
          <w:szCs w:val="44"/>
          <w:shd w:val="clear" w:color="auto" w:fill="FFFFFF"/>
        </w:rPr>
        <w:t>一般</w:t>
      </w:r>
      <w:r>
        <w:rPr>
          <w:rFonts w:hint="eastAsia" w:ascii="方正小标宋简体" w:hAnsi="方正小标宋简体" w:eastAsia="方正小标宋简体" w:cs="方正小标宋简体"/>
          <w:color w:val="222222"/>
          <w:kern w:val="0"/>
          <w:sz w:val="44"/>
          <w:szCs w:val="44"/>
          <w:shd w:val="clear" w:color="auto" w:fill="FFFFFF"/>
          <w:lang w:eastAsia="zh-CN"/>
        </w:rPr>
        <w:t>冒顶</w:t>
      </w:r>
      <w:r>
        <w:rPr>
          <w:rFonts w:hint="eastAsia" w:ascii="方正小标宋简体" w:hAnsi="方正小标宋简体" w:eastAsia="方正小标宋简体" w:cs="方正小标宋简体"/>
          <w:color w:val="222222"/>
          <w:kern w:val="0"/>
          <w:sz w:val="44"/>
          <w:szCs w:val="44"/>
          <w:shd w:val="clear" w:color="auto" w:fill="FFFFFF"/>
          <w:lang w:val="en-US" w:eastAsia="zh-CN"/>
        </w:rPr>
        <w:t>片帮</w:t>
      </w:r>
      <w:r>
        <w:rPr>
          <w:rFonts w:hint="eastAsia" w:ascii="方正小标宋简体" w:hAnsi="方正小标宋简体" w:eastAsia="方正小标宋简体" w:cs="方正小标宋简体"/>
          <w:color w:val="222222"/>
          <w:kern w:val="0"/>
          <w:sz w:val="44"/>
          <w:szCs w:val="44"/>
          <w:shd w:val="clear" w:color="auto" w:fill="FFFFFF"/>
        </w:rPr>
        <w:t>事故</w:t>
      </w:r>
      <w:r>
        <w:rPr>
          <w:rFonts w:hint="eastAsia" w:ascii="方正小标宋简体" w:hAnsi="方正小标宋简体" w:eastAsia="方正小标宋简体" w:cs="方正小标宋简体"/>
          <w:sz w:val="44"/>
          <w:szCs w:val="44"/>
        </w:rPr>
        <w:t>整改落实情况</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评估报告</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左右</w:t>
      </w:r>
      <w:r>
        <w:rPr>
          <w:rFonts w:hint="eastAsia" w:ascii="仿宋_GB2312" w:hAnsi="仿宋_GB2312" w:eastAsia="仿宋_GB2312" w:cs="仿宋_GB2312"/>
          <w:sz w:val="32"/>
          <w:szCs w:val="32"/>
        </w:rPr>
        <w:t>，大连</w:t>
      </w:r>
      <w:r>
        <w:rPr>
          <w:rFonts w:hint="eastAsia" w:ascii="仿宋_GB2312" w:hAnsi="仿宋_GB2312" w:eastAsia="仿宋_GB2312" w:cs="仿宋_GB2312"/>
          <w:sz w:val="32"/>
          <w:szCs w:val="32"/>
          <w:lang w:val="en-US" w:eastAsia="zh-CN"/>
        </w:rPr>
        <w:t>金来矿业有限责任公司</w:t>
      </w:r>
      <w:r>
        <w:rPr>
          <w:rFonts w:hint="eastAsia" w:ascii="仿宋_GB2312" w:hAnsi="仿宋_GB2312" w:eastAsia="仿宋_GB2312" w:cs="仿宋_GB2312"/>
          <w:sz w:val="32"/>
          <w:szCs w:val="32"/>
        </w:rPr>
        <w:t>发生一起</w:t>
      </w:r>
      <w:r>
        <w:rPr>
          <w:rFonts w:hint="eastAsia" w:ascii="仿宋_GB2312" w:hAnsi="仿宋_GB2312" w:eastAsia="仿宋_GB2312" w:cs="仿宋_GB2312"/>
          <w:sz w:val="32"/>
          <w:szCs w:val="32"/>
          <w:lang w:val="en-US" w:eastAsia="zh-CN"/>
        </w:rPr>
        <w:t>冒顶片帮</w:t>
      </w:r>
      <w:r>
        <w:rPr>
          <w:rFonts w:hint="eastAsia" w:ascii="仿宋_GB2312" w:hAnsi="仿宋_GB2312" w:eastAsia="仿宋_GB2312" w:cs="仿宋_GB2312"/>
          <w:sz w:val="32"/>
          <w:szCs w:val="32"/>
        </w:rPr>
        <w:t>事故，造成1人</w:t>
      </w:r>
      <w:r>
        <w:rPr>
          <w:rFonts w:hint="eastAsia" w:ascii="仿宋_GB2312" w:hAnsi="仿宋_GB2312" w:eastAsia="仿宋_GB2312" w:cs="仿宋_GB2312"/>
          <w:sz w:val="32"/>
          <w:szCs w:val="32"/>
          <w:lang w:val="en-US" w:eastAsia="zh-CN"/>
        </w:rPr>
        <w:t>重伤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直接经济损失约</w:t>
      </w:r>
      <w:r>
        <w:rPr>
          <w:rFonts w:hint="eastAsia" w:ascii="仿宋_GB2312" w:hAnsi="仿宋_GB2312" w:eastAsia="仿宋_GB2312" w:cs="仿宋_GB2312"/>
          <w:color w:val="000000"/>
          <w:sz w:val="32"/>
          <w:szCs w:val="32"/>
          <w:highlight w:val="none"/>
          <w:lang w:val="en-US" w:eastAsia="zh-CN"/>
        </w:rPr>
        <w:t>28.5</w:t>
      </w:r>
      <w:r>
        <w:rPr>
          <w:rFonts w:hint="eastAsia" w:ascii="仿宋_GB2312" w:hAnsi="仿宋_GB2312" w:eastAsia="仿宋_GB2312" w:cs="仿宋_GB2312"/>
          <w:sz w:val="32"/>
          <w:szCs w:val="32"/>
        </w:rPr>
        <w:t>万元。</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2025年7月2日，庄河市人民政府审议通过了《</w:t>
      </w:r>
      <w:r>
        <w:rPr>
          <w:rFonts w:hint="eastAsia" w:ascii="仿宋_GB2312" w:hAnsi="仿宋" w:eastAsia="仿宋_GB2312"/>
          <w:sz w:val="32"/>
          <w:szCs w:val="32"/>
          <w:lang w:val="en-US" w:eastAsia="zh-CN"/>
        </w:rPr>
        <w:t>大连金来矿业有限责任公司“3·3”一般冒顶片帮事故调查报告</w:t>
      </w:r>
      <w:r>
        <w:rPr>
          <w:rFonts w:hint="eastAsia" w:ascii="仿宋_GB2312" w:hAnsi="仿宋_GB2312" w:eastAsia="仿宋_GB2312" w:cs="仿宋_GB2312"/>
          <w:sz w:val="32"/>
          <w:szCs w:val="32"/>
          <w:lang w:val="en-US" w:eastAsia="zh-CN"/>
        </w:rPr>
        <w:t>》，并印发了《庄河市人民政府关于大连</w:t>
      </w:r>
      <w:r>
        <w:rPr>
          <w:rFonts w:hint="eastAsia" w:ascii="仿宋_GB2312" w:hAnsi="仿宋" w:eastAsia="仿宋_GB2312"/>
          <w:sz w:val="32"/>
          <w:szCs w:val="32"/>
          <w:lang w:val="en-US" w:eastAsia="zh-CN"/>
        </w:rPr>
        <w:t>金来矿业有限责任公司“3·3”一般冒顶片帮事故调查报告</w:t>
      </w:r>
      <w:r>
        <w:rPr>
          <w:rFonts w:hint="eastAsia" w:ascii="仿宋_GB2312" w:hAnsi="仿宋_GB2312" w:eastAsia="仿宋_GB2312" w:cs="仿宋_GB2312"/>
          <w:sz w:val="32"/>
          <w:szCs w:val="32"/>
          <w:lang w:val="en-US" w:eastAsia="zh-CN"/>
        </w:rPr>
        <w:t>的批复》（庄政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61号），同意事故结案。</w:t>
      </w:r>
      <w:r>
        <w:rPr>
          <w:rFonts w:hint="eastAsia" w:ascii="仿宋_GB2312" w:hAnsi="仿宋_GB2312" w:eastAsia="仿宋_GB2312" w:cs="仿宋_GB2312"/>
          <w:sz w:val="32"/>
          <w:szCs w:val="32"/>
        </w:rPr>
        <w:t>依据《辽宁省人民政府办公厅关于印发辽宁省生产安全事故责任追究和整改措施落实情况评估暂行办法的通知》（辽政办〔2020〕15号）有关规定，庄河市</w:t>
      </w:r>
      <w:r>
        <w:rPr>
          <w:rFonts w:hint="eastAsia" w:ascii="仿宋_GB2312" w:hAnsi="仿宋_GB2312" w:eastAsia="仿宋_GB2312" w:cs="仿宋_GB2312"/>
          <w:sz w:val="32"/>
          <w:szCs w:val="32"/>
          <w:lang w:eastAsia="zh-CN"/>
        </w:rPr>
        <w:t>安委会办公室</w:t>
      </w:r>
      <w:r>
        <w:rPr>
          <w:rFonts w:hint="eastAsia" w:ascii="仿宋_GB2312" w:hAnsi="仿宋_GB2312" w:eastAsia="仿宋_GB2312" w:cs="仿宋_GB2312"/>
          <w:sz w:val="32"/>
          <w:szCs w:val="32"/>
          <w:lang w:val="en-US" w:eastAsia="zh-CN"/>
        </w:rPr>
        <w:t>成立</w:t>
      </w:r>
      <w:r>
        <w:rPr>
          <w:rFonts w:hint="eastAsia" w:ascii="仿宋_GB2312" w:hAnsi="仿宋" w:eastAsia="仿宋_GB2312"/>
          <w:sz w:val="32"/>
          <w:szCs w:val="32"/>
          <w:lang w:val="en-US" w:eastAsia="zh-CN"/>
        </w:rPr>
        <w:t>大连金来矿业有限责任公司“3·3”一般冒顶片帮事故</w:t>
      </w:r>
      <w:r>
        <w:rPr>
          <w:rFonts w:hint="eastAsia" w:ascii="仿宋_GB2312" w:hAnsi="仿宋_GB2312" w:eastAsia="仿宋_GB2312" w:cs="仿宋_GB2312"/>
          <w:sz w:val="32"/>
          <w:szCs w:val="32"/>
        </w:rPr>
        <w:t>评估组，对事故整改措施落实情况进行评估，形成《</w:t>
      </w:r>
      <w:r>
        <w:rPr>
          <w:rFonts w:hint="eastAsia" w:ascii="仿宋_GB2312" w:hAnsi="仿宋" w:eastAsia="仿宋_GB2312"/>
          <w:sz w:val="32"/>
          <w:szCs w:val="32"/>
          <w:lang w:val="en-US" w:eastAsia="zh-CN"/>
        </w:rPr>
        <w:t>大连金来矿业有限责任公司“3·3”一般冒顶片帮事故</w:t>
      </w:r>
      <w:r>
        <w:rPr>
          <w:rFonts w:hint="eastAsia" w:ascii="仿宋_GB2312" w:hAnsi="仿宋_GB2312" w:eastAsia="仿宋_GB2312" w:cs="仿宋_GB2312"/>
          <w:sz w:val="32"/>
          <w:szCs w:val="32"/>
        </w:rPr>
        <w:t>整改落实情况</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评估报告》。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14:ligatures w14:val="none"/>
        </w:rPr>
        <w:t>一、</w:t>
      </w:r>
      <w:r>
        <w:rPr>
          <w:rFonts w:hint="eastAsia" w:ascii="黑体" w:hAnsi="黑体" w:eastAsia="黑体" w:cs="黑体"/>
          <w:sz w:val="32"/>
          <w:szCs w:val="32"/>
          <w:lang w:val="en-US" w:eastAsia="zh-CN"/>
        </w:rPr>
        <w:t>评估工作组织及开展情况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2026年1月6日，按照《</w:t>
      </w:r>
      <w:r>
        <w:rPr>
          <w:rFonts w:hint="eastAsia" w:ascii="仿宋_GB2312" w:hAnsi="仿宋_GB2312" w:eastAsia="仿宋_GB2312" w:cs="仿宋_GB2312"/>
          <w:sz w:val="32"/>
          <w:szCs w:val="32"/>
        </w:rPr>
        <w:t>辽宁省人民政府办公厅关于印发辽宁省生产安全事故责任追究和整改措施落实情况评估暂行办法的通知》（辽政办〔2020〕15号）有关规定，庄河市</w:t>
      </w:r>
      <w:r>
        <w:rPr>
          <w:rFonts w:hint="eastAsia" w:ascii="仿宋_GB2312" w:hAnsi="仿宋_GB2312" w:eastAsia="仿宋_GB2312" w:cs="仿宋_GB2312"/>
          <w:sz w:val="32"/>
          <w:szCs w:val="32"/>
          <w:lang w:eastAsia="zh-CN"/>
        </w:rPr>
        <w:t>安委会办公室</w:t>
      </w:r>
      <w:r>
        <w:rPr>
          <w:rFonts w:hint="eastAsia" w:ascii="仿宋_GB2312" w:hAnsi="仿宋_GB2312" w:eastAsia="仿宋_GB2312" w:cs="仿宋_GB2312"/>
          <w:sz w:val="32"/>
          <w:szCs w:val="32"/>
          <w:lang w:val="en-US" w:eastAsia="zh-CN"/>
        </w:rPr>
        <w:t>成立了由市应急局、市公安局、市总工会、兰店乡人民政府</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val="en-US" w:eastAsia="zh-CN"/>
        </w:rPr>
        <w:t>的评估组，评估组通过到事故现场实地走访、到相关部门查阅档案资料等，对事故整改措施落实情况进行全面评估。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14:ligatures w14:val="none"/>
        </w:rPr>
        <w:t>（一）</w:t>
      </w:r>
      <w:r>
        <w:rPr>
          <w:rFonts w:hint="eastAsia" w:ascii="仿宋_GB2312" w:hAnsi="仿宋_GB2312" w:eastAsia="仿宋_GB2312" w:cs="仿宋_GB2312"/>
          <w:sz w:val="32"/>
          <w:szCs w:val="32"/>
          <w:lang w:val="en-US" w:eastAsia="zh-CN"/>
        </w:rPr>
        <w:t>评估组成员</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矫贞峰  </w:t>
      </w:r>
      <w:r>
        <w:rPr>
          <w:rFonts w:hint="eastAsia" w:ascii="仿宋_GB2312" w:hAnsi="仿宋_GB2312" w:eastAsia="仿宋_GB2312" w:cs="仿宋_GB2312"/>
          <w:sz w:val="32"/>
          <w:szCs w:val="32"/>
        </w:rPr>
        <w:t>市应急管理局</w:t>
      </w:r>
      <w:r>
        <w:rPr>
          <w:rFonts w:hint="eastAsia" w:ascii="仿宋_GB2312" w:hAnsi="仿宋_GB2312" w:eastAsia="仿宋_GB2312" w:cs="仿宋_GB2312"/>
          <w:sz w:val="32"/>
          <w:szCs w:val="32"/>
          <w:lang w:val="en-US" w:eastAsia="zh-CN"/>
        </w:rPr>
        <w:t xml:space="preserve">局长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韩志敏  </w:t>
      </w:r>
      <w:r>
        <w:rPr>
          <w:rFonts w:hint="eastAsia" w:ascii="仿宋_GB2312" w:hAnsi="仿宋_GB2312" w:eastAsia="仿宋_GB2312" w:cs="仿宋_GB2312"/>
          <w:sz w:val="32"/>
          <w:szCs w:val="32"/>
        </w:rPr>
        <w:t>市公安局</w:t>
      </w:r>
      <w:r>
        <w:rPr>
          <w:rFonts w:hint="eastAsia" w:ascii="仿宋_GB2312" w:hAnsi="仿宋_GB2312" w:eastAsia="仿宋_GB2312" w:cs="仿宋_GB2312"/>
          <w:sz w:val="32"/>
          <w:szCs w:val="32"/>
          <w:lang w:val="en-US" w:eastAsia="zh-CN"/>
        </w:rPr>
        <w:t xml:space="preserve">副局长  </w:t>
      </w: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市应急管理局副局长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周  丹  </w:t>
      </w:r>
      <w:r>
        <w:rPr>
          <w:rFonts w:hint="eastAsia" w:ascii="仿宋_GB2312" w:hAnsi="仿宋_GB2312" w:eastAsia="仿宋_GB2312" w:cs="仿宋_GB2312"/>
          <w:sz w:val="32"/>
          <w:szCs w:val="32"/>
        </w:rPr>
        <w:t>市总工会经济部负责人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巩曰涛  兰店乡人民政府副乡长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员：崔天然  市公安局内保大队大队长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王贵鑫  市公安局内保大队民警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王玉鑫  市应急局行业科科长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9" w:firstLineChars="603"/>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曲松杨  市应急局行业科科员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929" w:firstLineChars="603"/>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李明华  市应急局行业科科员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林奇军  市总工会经济部劳动保护专干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王洪生  兰店乡安监站专干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5" w:leftChars="912"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同时邀请市</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lang w:val="en-US" w:eastAsia="zh-CN"/>
        </w:rPr>
        <w:t>市检察院派员</w:t>
      </w:r>
      <w:r>
        <w:rPr>
          <w:rFonts w:hint="eastAsia" w:ascii="仿宋_GB2312" w:hAnsi="仿宋_GB2312" w:eastAsia="仿宋_GB2312" w:cs="仿宋_GB2312"/>
          <w:sz w:val="32"/>
          <w:szCs w:val="32"/>
        </w:rPr>
        <w:t>参加。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（二）评估内容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1.事故归档、备案及公布的情况；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2.事故相关责任单位处理意见的落实情况；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3.事故相关责任人员处理意见的落实情况；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4.事故责任单位防范和整改措施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落实情况</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（三）评估方法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1.制定评估工作方案，明确评估工作的目标、任务、方法、步骤、时限和要求；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2.听取</w:t>
      </w:r>
      <w:r>
        <w:rPr>
          <w:rFonts w:hint="eastAsia" w:ascii="仿宋_GB2312" w:hAnsi="仿宋_GB2312" w:eastAsia="仿宋_GB2312" w:cs="仿宋_GB2312"/>
          <w:sz w:val="32"/>
          <w:szCs w:val="32"/>
          <w:lang w:val="en-US" w:eastAsia="zh-CN"/>
        </w:rPr>
        <w:t>大连金来矿业有限责任公司整改</w:t>
      </w:r>
      <w:r>
        <w:rPr>
          <w:rFonts w:hint="eastAsia" w:ascii="仿宋_GB2312" w:hAnsi="仿宋_GB2312" w:eastAsia="仿宋_GB2312" w:cs="仿宋_GB2312"/>
          <w:sz w:val="32"/>
          <w:szCs w:val="32"/>
        </w:rPr>
        <w:t>措施落实</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3.调阅事故</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责任单位及责任人员的责任追究落实情况；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4.依据事故调查报告对</w:t>
      </w:r>
      <w:r>
        <w:rPr>
          <w:rFonts w:hint="eastAsia" w:ascii="仿宋_GB2312" w:hAnsi="仿宋_GB2312" w:eastAsia="仿宋_GB2312" w:cs="仿宋_GB2312"/>
          <w:sz w:val="32"/>
          <w:szCs w:val="32"/>
          <w:lang w:val="en-US" w:eastAsia="zh-CN"/>
        </w:rPr>
        <w:t>大连金来矿业有限责任公司（以下简称金来矿业）整改</w:t>
      </w:r>
      <w:r>
        <w:rPr>
          <w:rFonts w:hint="eastAsia" w:ascii="仿宋_GB2312" w:hAnsi="仿宋_GB2312" w:eastAsia="仿宋_GB2312" w:cs="仿宋_GB2312"/>
          <w:sz w:val="32"/>
          <w:szCs w:val="32"/>
        </w:rPr>
        <w:t>措施落实情况进行现场核查；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5.收集、整理有关见证材料，起草评估报告。</w:t>
      </w: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二、事故归档及公布的情况</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庄河市应急管理局按要求对事故案卷进行了归档；202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日在庄河市人民政府官方网站对事故调查报告进行了</w:t>
      </w:r>
      <w:r>
        <w:rPr>
          <w:rFonts w:hint="eastAsia" w:ascii="仿宋_GB2312" w:hAnsi="仿宋_GB2312" w:eastAsia="仿宋_GB2312" w:cs="仿宋_GB2312"/>
          <w:sz w:val="32"/>
          <w:szCs w:val="32"/>
          <w:lang w:val="en-US" w:eastAsia="zh-CN"/>
        </w:rPr>
        <w:t>全文</w:t>
      </w:r>
      <w:r>
        <w:rPr>
          <w:rFonts w:hint="eastAsia" w:ascii="仿宋_GB2312" w:hAnsi="仿宋_GB2312" w:eastAsia="仿宋_GB2312" w:cs="仿宋_GB2312"/>
          <w:sz w:val="32"/>
          <w:szCs w:val="32"/>
        </w:rPr>
        <w:t>公示，接受社</w:t>
      </w:r>
      <w:r>
        <w:rPr>
          <w:rFonts w:hint="eastAsia" w:ascii="仿宋_GB2312" w:hAnsi="仿宋_GB2312" w:eastAsia="仿宋_GB2312" w:cs="仿宋_GB2312"/>
          <w:sz w:val="32"/>
          <w:szCs w:val="32"/>
          <w:lang w:val="en-US" w:eastAsia="zh-CN"/>
        </w:rPr>
        <w:t>会监督，网址为https://dlzh.gov.cn/html/newsShow.html?id=f7fbc3fc0a774079b1ba4a93b3bccd05&amp;cid=599</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三、有关责任</w:t>
      </w:r>
      <w:r>
        <w:rPr>
          <w:rFonts w:hint="eastAsia" w:ascii="黑体" w:hAnsi="黑体" w:eastAsia="黑体" w:cs="黑体"/>
          <w:sz w:val="32"/>
          <w:szCs w:val="32"/>
        </w:rPr>
        <w:t>单位、</w:t>
      </w:r>
      <w:r>
        <w:rPr>
          <w:rFonts w:hint="eastAsia" w:ascii="黑体" w:hAnsi="黑体" w:eastAsia="黑体" w:cs="黑体"/>
          <w:sz w:val="32"/>
          <w:szCs w:val="32"/>
          <w:lang w:val="en-US" w:eastAsia="zh-CN"/>
        </w:rPr>
        <w:t>部门和</w:t>
      </w:r>
      <w:r>
        <w:rPr>
          <w:rFonts w:hint="eastAsia" w:ascii="黑体" w:hAnsi="黑体" w:eastAsia="黑体" w:cs="黑体"/>
          <w:sz w:val="32"/>
          <w:szCs w:val="32"/>
        </w:rPr>
        <w:t>人员</w:t>
      </w:r>
      <w:r>
        <w:rPr>
          <w:rFonts w:hint="eastAsia" w:ascii="黑体" w:hAnsi="黑体" w:eastAsia="黑体" w:cs="黑体"/>
          <w:sz w:val="32"/>
          <w:szCs w:val="32"/>
          <w:lang w:val="en-US" w:eastAsia="zh-CN"/>
        </w:rPr>
        <w:t>的</w:t>
      </w:r>
      <w:r>
        <w:rPr>
          <w:rFonts w:hint="eastAsia" w:ascii="黑体" w:hAnsi="黑体" w:eastAsia="黑体" w:cs="黑体"/>
          <w:sz w:val="32"/>
          <w:szCs w:val="32"/>
        </w:rPr>
        <w:t>处理意见的落实情况</w:t>
      </w:r>
    </w:p>
    <w:p>
      <w:pPr>
        <w:numPr>
          <w:ilvl w:val="0"/>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调查报告共对1家单位和2名责任人提出了处理意见，行政处罚及企业内部处理已全部执行到位。</w:t>
      </w:r>
    </w:p>
    <w:p>
      <w:pPr>
        <w:numPr>
          <w:ilvl w:val="0"/>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kern w:val="2"/>
          <w:sz w:val="32"/>
          <w:szCs w:val="32"/>
          <w:lang w:val="en-US" w:eastAsia="zh-CN" w:bidi="ar-SA"/>
          <w14:ligatures w14:val="none"/>
        </w:rPr>
        <w:t>关单位的处理意见的落实情况</w:t>
      </w:r>
    </w:p>
    <w:p>
      <w:pPr>
        <w:numPr>
          <w:ilvl w:val="0"/>
          <w:numId w:val="0"/>
        </w:numPr>
        <w:ind w:firstLine="640" w:firstLineChars="200"/>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金来矿业安全生产主体责任落实不到位。1.作业现场安全管理不到位。现场监护人员为铲运工袁春青，存在随意委任监护人员，缺乏监护能力，风险辨识能力和应急意识。2.现场安全设施不完善。事发9中48-3处内的护顶措施不到位，仅用3根支护木撑，不能有效防范巷道顶板碎石掉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违反了</w:t>
      </w:r>
      <w:r>
        <w:rPr>
          <w:rFonts w:hint="eastAsia" w:ascii="仿宋_GB2312" w:hAnsi="仿宋_GB2312" w:eastAsia="仿宋_GB2312" w:cs="仿宋_GB2312"/>
          <w:sz w:val="32"/>
          <w:szCs w:val="32"/>
        </w:rPr>
        <w:t>《中华人民共和国安全生产法》（以下简称《安全生产法》）</w:t>
      </w:r>
      <w:r>
        <w:rPr>
          <w:rFonts w:hint="eastAsia" w:ascii="仿宋_GB2312" w:hAnsi="仿宋" w:eastAsia="仿宋_GB2312" w:cs="仿宋"/>
          <w:bCs/>
          <w:color w:val="000000"/>
          <w:sz w:val="32"/>
          <w:szCs w:val="32"/>
          <w:lang w:val="en-US" w:eastAsia="zh-CN"/>
        </w:rPr>
        <w:t>第四条的规定，导致事故发生，对事故发生负有责任，建议庄河市应急管理局依据《安全生产法》第一百一十四条第一款第一项的规定给予行政处罚。</w:t>
      </w:r>
    </w:p>
    <w:p>
      <w:pPr>
        <w:ind w:firstLine="640" w:firstLineChars="200"/>
        <w:rPr>
          <w:rFonts w:hint="default"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2025年7月6日，庄河市应急管理局按照法定程序对大连金来矿业有限责任公司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·3”一般</w:t>
      </w:r>
      <w:r>
        <w:rPr>
          <w:rFonts w:hint="eastAsia" w:ascii="仿宋_GB2312" w:hAnsi="仿宋_GB2312" w:eastAsia="仿宋_GB2312" w:cs="仿宋_GB2312"/>
          <w:sz w:val="32"/>
          <w:szCs w:val="32"/>
          <w:lang w:eastAsia="zh-CN"/>
        </w:rPr>
        <w:t>冒顶片帮</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案</w:t>
      </w:r>
      <w:r>
        <w:rPr>
          <w:rFonts w:hint="eastAsia" w:ascii="仿宋_GB2312" w:hAnsi="仿宋" w:eastAsia="仿宋_GB2312" w:cs="仿宋"/>
          <w:bCs/>
          <w:color w:val="000000"/>
          <w:sz w:val="32"/>
          <w:szCs w:val="32"/>
          <w:lang w:val="en-US" w:eastAsia="zh-CN"/>
        </w:rPr>
        <w:t>进行了立案调查，经应急局集体讨论决定，同意对金来矿业按照市政府批复的事故调查报告进行处罚，下达了《行政处罚决定书》（（庄）应急罚〔2025〕SG11号），对其处以罚款人民币叁拾万元整（</w:t>
      </w:r>
      <w:r>
        <w:rPr>
          <w:rFonts w:hint="default" w:ascii="Arial" w:hAnsi="Arial" w:eastAsia="仿宋_GB2312" w:cs="Arial"/>
          <w:bCs/>
          <w:color w:val="000000"/>
          <w:sz w:val="32"/>
          <w:szCs w:val="32"/>
          <w:lang w:val="en-US" w:eastAsia="zh-CN"/>
        </w:rPr>
        <w:t>¥</w:t>
      </w:r>
      <w:r>
        <w:rPr>
          <w:rFonts w:hint="eastAsia" w:ascii="Arial" w:hAnsi="Arial" w:eastAsia="仿宋_GB2312" w:cs="Arial"/>
          <w:bCs/>
          <w:color w:val="000000"/>
          <w:sz w:val="32"/>
          <w:szCs w:val="32"/>
          <w:lang w:val="en-US" w:eastAsia="zh-CN"/>
        </w:rPr>
        <w:t>3</w:t>
      </w:r>
      <w:r>
        <w:rPr>
          <w:rFonts w:hint="eastAsia" w:ascii="仿宋_GB2312" w:hAnsi="仿宋" w:eastAsia="仿宋_GB2312" w:cs="仿宋"/>
          <w:bCs/>
          <w:color w:val="000000"/>
          <w:sz w:val="32"/>
          <w:szCs w:val="32"/>
          <w:lang w:val="en-US" w:eastAsia="zh-CN"/>
        </w:rPr>
        <w:t>00，000.00）的行政处罚。2025年8月7日，金来矿业按规定足额缴纳了罚款，2025年8月8日，经应急局主要负责人审批同意结案。</w:t>
      </w:r>
    </w:p>
    <w:p>
      <w:pPr>
        <w:ind w:firstLine="640" w:firstLineChars="200"/>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（二）对有关人员的处理意见的落实情况</w:t>
      </w:r>
    </w:p>
    <w:p>
      <w:pPr>
        <w:ind w:firstLine="640" w:firstLineChars="200"/>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1.</w:t>
      </w:r>
      <w:r>
        <w:rPr>
          <w:rFonts w:hint="eastAsia" w:ascii="仿宋_GB2312" w:hAnsi="仿宋_GB2312" w:eastAsia="仿宋_GB2312" w:cs="仿宋_GB2312"/>
          <w:sz w:val="32"/>
          <w:szCs w:val="32"/>
          <w:lang w:val="en-US" w:eastAsia="zh-CN"/>
        </w:rPr>
        <w:t>林新雄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男</w:t>
      </w:r>
      <w:r>
        <w:rPr>
          <w:rFonts w:hint="eastAsia" w:ascii="仿宋_GB2312" w:hAnsi="仿宋_GB2312" w:eastAsia="仿宋_GB2312" w:cs="仿宋_GB2312"/>
          <w:sz w:val="32"/>
          <w:szCs w:val="32"/>
        </w:rPr>
        <w:t>，中共党员，</w:t>
      </w:r>
      <w:r>
        <w:rPr>
          <w:rFonts w:hint="eastAsia" w:ascii="仿宋_GB2312" w:hAnsi="仿宋_GB2312" w:eastAsia="仿宋_GB2312" w:cs="仿宋_GB2312"/>
          <w:sz w:val="32"/>
          <w:szCs w:val="32"/>
          <w:lang w:val="en-US" w:eastAsia="zh-CN"/>
        </w:rPr>
        <w:t>金来矿业</w:t>
      </w:r>
      <w:r>
        <w:rPr>
          <w:rFonts w:hint="eastAsia" w:ascii="仿宋_GB2312" w:hAnsi="仿宋_GB2312" w:eastAsia="仿宋_GB2312" w:cs="仿宋_GB2312"/>
          <w:sz w:val="32"/>
          <w:szCs w:val="32"/>
        </w:rPr>
        <w:t>总经理。未有效履行主要负责人职责，</w:t>
      </w:r>
      <w:r>
        <w:rPr>
          <w:rFonts w:hint="eastAsia" w:ascii="仿宋_GB2312" w:hAnsi="仿宋_GB2312" w:eastAsia="仿宋_GB2312" w:cs="仿宋_GB2312"/>
          <w:sz w:val="32"/>
          <w:szCs w:val="32"/>
          <w:lang w:val="en-US" w:eastAsia="zh-CN"/>
        </w:rPr>
        <w:t>督促、检查</w:t>
      </w:r>
      <w:r>
        <w:rPr>
          <w:rFonts w:hint="eastAsia" w:ascii="仿宋_GB2312" w:hAnsi="仿宋_GB2312" w:eastAsia="仿宋_GB2312" w:cs="仿宋_GB2312"/>
          <w:sz w:val="32"/>
          <w:szCs w:val="32"/>
        </w:rPr>
        <w:t>安全风险隐患排查和治理不到位，</w:t>
      </w:r>
      <w:r>
        <w:rPr>
          <w:rFonts w:hint="eastAsia" w:ascii="仿宋_GB2312" w:hAnsi="仿宋_GB2312" w:eastAsia="仿宋_GB2312" w:cs="仿宋_GB2312"/>
          <w:sz w:val="32"/>
          <w:szCs w:val="32"/>
          <w:lang w:val="en-US" w:eastAsia="zh-CN"/>
        </w:rPr>
        <w:t>其行为</w:t>
      </w:r>
      <w:r>
        <w:rPr>
          <w:rFonts w:hint="eastAsia" w:ascii="仿宋_GB2312" w:hAnsi="仿宋_GB2312" w:eastAsia="仿宋_GB2312" w:cs="仿宋_GB2312"/>
          <w:sz w:val="32"/>
          <w:szCs w:val="32"/>
        </w:rPr>
        <w:t>违反了《安全生产法》第二十一条的规定，</w:t>
      </w:r>
      <w:r>
        <w:rPr>
          <w:rFonts w:hint="eastAsia" w:ascii="仿宋_GB2312" w:hAnsi="仿宋_GB2312" w:eastAsia="仿宋_GB2312" w:cs="仿宋_GB2312"/>
          <w:sz w:val="32"/>
          <w:szCs w:val="32"/>
          <w:lang w:val="en-US" w:eastAsia="zh-CN"/>
        </w:rPr>
        <w:t>对事故发生负有责任，建议庄河市应急管理局</w:t>
      </w:r>
      <w:r>
        <w:rPr>
          <w:rFonts w:hint="eastAsia" w:ascii="仿宋_GB2312" w:hAnsi="仿宋_GB2312" w:eastAsia="仿宋_GB2312" w:cs="仿宋_GB2312"/>
          <w:sz w:val="32"/>
          <w:szCs w:val="32"/>
        </w:rPr>
        <w:t>依据《安全生产法》第九十五条第一项的规定给予行政处罚。</w:t>
      </w:r>
    </w:p>
    <w:p>
      <w:pPr>
        <w:ind w:firstLine="640" w:firstLineChars="200"/>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2025年7月6日，庄河市应急管理局按照法定程序对大连金来矿业有限责任公司“3·3”一般冒顶片帮事故案进行了立案调查，经应急局集体讨论决定，同意对林新雄按照市政府批复的事故调查报告进行处罚，下达了《行政处罚决定书》（（庄）应急罚〔2025〕SG12号），对其处以2024年度收入的40%罚款伍万贰仟捌佰伍拾叁元整（</w:t>
      </w:r>
      <w:r>
        <w:rPr>
          <w:rFonts w:hint="default"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lang w:val="en-US" w:eastAsia="zh-CN"/>
        </w:rPr>
        <w:t>52,853.00）的行政处罚。2025年8月7日，林新雄按规定足额缴纳了罚款，2025年8月8日，经应急局主要负责人审批同意结案。</w:t>
      </w:r>
    </w:p>
    <w:p>
      <w:pPr>
        <w:ind w:firstLine="640" w:firstLineChars="200"/>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w:t>
      </w:r>
      <w:r>
        <w:rPr>
          <w:rFonts w:hint="eastAsia" w:ascii="仿宋_GB2312" w:hAnsi="仿宋_GB2312" w:eastAsia="仿宋_GB2312" w:cs="仿宋_GB2312"/>
          <w:sz w:val="32"/>
          <w:szCs w:val="32"/>
          <w:lang w:val="en-US" w:eastAsia="zh-CN"/>
        </w:rPr>
        <w:t>吕国祥,金来矿业生产副矿长（带班矿长）。未有效履行安全生产管理人员职责，未及时排查安全生产事故隐患。其行为</w:t>
      </w:r>
      <w:r>
        <w:rPr>
          <w:rFonts w:hint="eastAsia" w:ascii="仿宋_GB2312" w:hAnsi="仿宋_GB2312" w:eastAsia="仿宋_GB2312" w:cs="仿宋_GB2312"/>
          <w:sz w:val="32"/>
          <w:szCs w:val="32"/>
        </w:rPr>
        <w:t>违反了《安全生产法》第二十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条的规定，</w:t>
      </w:r>
      <w:r>
        <w:rPr>
          <w:rFonts w:hint="eastAsia" w:ascii="仿宋_GB2312" w:hAnsi="仿宋_GB2312" w:eastAsia="仿宋_GB2312" w:cs="仿宋_GB2312"/>
          <w:sz w:val="32"/>
          <w:szCs w:val="32"/>
          <w:lang w:val="en-US" w:eastAsia="zh-CN"/>
        </w:rPr>
        <w:t>对事故发生负有责任，建议庄河市应急管理局</w:t>
      </w:r>
      <w:r>
        <w:rPr>
          <w:rFonts w:hint="eastAsia" w:ascii="仿宋_GB2312" w:hAnsi="仿宋_GB2312" w:eastAsia="仿宋_GB2312" w:cs="仿宋_GB2312"/>
          <w:sz w:val="32"/>
          <w:szCs w:val="32"/>
        </w:rPr>
        <w:t>依据《安全生产法》第九十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条的规定给予行政处罚。</w:t>
      </w:r>
    </w:p>
    <w:p>
      <w:pPr>
        <w:keepNext w:val="0"/>
        <w:keepLines w:val="0"/>
        <w:widowControl/>
        <w:suppressLineNumbers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仿宋"/>
          <w:bCs/>
          <w:color w:val="000000"/>
          <w:sz w:val="32"/>
          <w:szCs w:val="32"/>
          <w:lang w:val="en-US" w:eastAsia="zh-CN"/>
        </w:rPr>
        <w:t>2025年7月6日，庄河市应急管理局按照法定程序对大连金来矿业有限责任公司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·3”一般</w:t>
      </w:r>
      <w:r>
        <w:rPr>
          <w:rFonts w:hint="eastAsia" w:ascii="仿宋_GB2312" w:hAnsi="仿宋_GB2312" w:eastAsia="仿宋_GB2312" w:cs="仿宋_GB2312"/>
          <w:sz w:val="32"/>
          <w:szCs w:val="32"/>
          <w:lang w:eastAsia="zh-CN"/>
        </w:rPr>
        <w:t>冒顶片帮</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案</w:t>
      </w:r>
      <w:r>
        <w:rPr>
          <w:rFonts w:hint="eastAsia" w:ascii="仿宋_GB2312" w:hAnsi="仿宋" w:eastAsia="仿宋_GB2312" w:cs="仿宋"/>
          <w:bCs/>
          <w:color w:val="000000"/>
          <w:sz w:val="32"/>
          <w:szCs w:val="32"/>
          <w:lang w:val="en-US" w:eastAsia="zh-CN"/>
        </w:rPr>
        <w:t>进行了立案调查，经应急局集体讨论决定，同意对吕国祥按照市政府批复的事故调查报告进行处罚，下达了《行政处罚决定书》（（庄）应急罚〔2025〕SG13号），对其处以2024年度收入的20%罚款叁万贰仟伍佰陆拾伍元整（</w:t>
      </w:r>
      <w:r>
        <w:rPr>
          <w:rFonts w:hint="default" w:ascii="Arial" w:hAnsi="Arial" w:eastAsia="仿宋_GB2312" w:cs="Arial"/>
          <w:bCs/>
          <w:color w:val="000000"/>
          <w:sz w:val="32"/>
          <w:szCs w:val="32"/>
          <w:lang w:val="en-US" w:eastAsia="zh-CN"/>
        </w:rPr>
        <w:t>¥</w:t>
      </w:r>
      <w:r>
        <w:rPr>
          <w:rFonts w:hint="eastAsia" w:ascii="仿宋_GB2312" w:hAnsi="仿宋" w:eastAsia="仿宋_GB2312" w:cs="仿宋"/>
          <w:bCs/>
          <w:color w:val="000000"/>
          <w:sz w:val="32"/>
          <w:szCs w:val="32"/>
          <w:lang w:val="en-US" w:eastAsia="zh-CN"/>
        </w:rPr>
        <w:t>32,565.00）的行政处罚。2025年8月7日，吕国祥按规定足额缴纳了罚款，2025年8月8日，经应急局主要负责人审批同意结案。</w:t>
      </w:r>
    </w:p>
    <w:p>
      <w:pPr>
        <w:numPr>
          <w:ilvl w:val="0"/>
          <w:numId w:val="0"/>
        </w:numPr>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四、事故责任单位事故防范和整改措施落实情况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为认真吸取“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”顶板片帮事故教训，防范冒顶片帮事故的发生，</w:t>
      </w:r>
      <w:r>
        <w:rPr>
          <w:rFonts w:hint="eastAsia" w:ascii="仿宋_GB2312" w:hAnsi="仿宋_GB2312" w:eastAsia="仿宋_GB2312" w:cs="仿宋_GB2312"/>
          <w:sz w:val="32"/>
          <w:szCs w:val="32"/>
          <w:lang w:val="en-US" w:eastAsia="zh-CN"/>
        </w:rPr>
        <w:t>公司依据相关安全生产法律法规、规程及相关</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lang w:val="en-US" w:eastAsia="zh-CN"/>
        </w:rPr>
        <w:t>对公司“3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3”事故中暴露出的问题隐患进行了整改：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1.加强支护措施落实。“3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3”冒顶伤人事故主要原因是支护现场安全措施落实不到位。公司高度重视这起事故，召开了1次顶板管理专题会，规定编制采掘面单体设计及工程设计，生产技术人员必须排查采场、巷道及周边区域的地质情况，</w:t>
      </w:r>
      <w:r>
        <w:rPr>
          <w:rFonts w:hint="eastAsia" w:ascii="仿宋_GB2312" w:hAnsi="仿宋_GB2312" w:eastAsia="仿宋_GB2312" w:cs="仿宋_GB2312"/>
          <w:sz w:val="32"/>
          <w:szCs w:val="32"/>
        </w:rPr>
        <w:t>合理开拓布局，优化采区设计,采纳合理的开采方法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通过排查，</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采掘面</w:t>
      </w:r>
      <w:r>
        <w:rPr>
          <w:rFonts w:hint="eastAsia" w:ascii="仿宋_GB2312" w:hAnsi="仿宋_GB2312" w:eastAsia="仿宋_GB2312" w:cs="仿宋_GB2312"/>
          <w:sz w:val="32"/>
          <w:szCs w:val="32"/>
        </w:rPr>
        <w:t>顶板隐患的实施</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建档、评估和监控治理</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采掘面支护方式进行设计，明确支护材料。矿区班组按照相关设计进行支护，并由当班带班领导、班长及安全员三级确认安全后填写顶板管理公示板，再安排支护人员进场支护，确保不支护不作业。</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2.严格顶板管理。一是优化采掘设计。公司成立事故整改专项小组，组织召开了2次事故整改会议，重新完善了顶板</w:t>
      </w:r>
      <w:r>
        <w:rPr>
          <w:rFonts w:hint="default"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制定了顶板管理各项整改措施，落实了各岗位职责，加强了顶板管理工作。通过4次</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矿井</w:t>
      </w:r>
      <w:r>
        <w:rPr>
          <w:rFonts w:hint="eastAsia" w:ascii="仿宋_GB2312" w:hAnsi="仿宋_GB2312" w:eastAsia="仿宋_GB2312" w:cs="仿宋_GB2312"/>
          <w:sz w:val="32"/>
          <w:szCs w:val="32"/>
        </w:rPr>
        <w:t>顶板管理情况</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全面排查和梳理，</w:t>
      </w:r>
      <w:r>
        <w:rPr>
          <w:rFonts w:hint="eastAsia" w:ascii="仿宋_GB2312" w:hAnsi="仿宋_GB2312" w:eastAsia="仿宋_GB2312" w:cs="仿宋_GB2312"/>
          <w:sz w:val="32"/>
          <w:szCs w:val="32"/>
          <w:lang w:val="en-US" w:eastAsia="zh-CN"/>
        </w:rPr>
        <w:t>针对顶板管理中存在设计上的缺陷，重新优化了采掘设计。</w:t>
      </w:r>
      <w:r>
        <w:rPr>
          <w:rFonts w:hint="default" w:ascii="仿宋_GB2312" w:hAnsi="仿宋_GB2312" w:eastAsia="仿宋_GB2312" w:cs="仿宋_GB2312"/>
          <w:sz w:val="32"/>
          <w:szCs w:val="32"/>
        </w:rPr>
        <w:t>采</w:t>
      </w:r>
      <w:r>
        <w:rPr>
          <w:rFonts w:hint="eastAsia" w:ascii="仿宋_GB2312" w:hAnsi="仿宋_GB2312" w:eastAsia="仿宋_GB2312" w:cs="仿宋_GB2312"/>
          <w:sz w:val="32"/>
          <w:szCs w:val="32"/>
          <w:lang w:val="en-US" w:eastAsia="zh-CN"/>
        </w:rPr>
        <w:t>掘设计</w:t>
      </w:r>
      <w:r>
        <w:rPr>
          <w:rFonts w:hint="default" w:ascii="仿宋_GB2312" w:hAnsi="仿宋_GB2312" w:eastAsia="仿宋_GB2312" w:cs="仿宋_GB2312"/>
          <w:sz w:val="32"/>
          <w:szCs w:val="32"/>
        </w:rPr>
        <w:t>编制专门的安全技术措施，</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公司</w:t>
      </w:r>
      <w:r>
        <w:rPr>
          <w:rFonts w:hint="default" w:ascii="仿宋_GB2312" w:hAnsi="仿宋_GB2312" w:eastAsia="仿宋_GB2312" w:cs="仿宋_GB2312"/>
          <w:sz w:val="32"/>
          <w:szCs w:val="32"/>
        </w:rPr>
        <w:t>总工程师审批。</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lang w:val="en-US" w:eastAsia="zh-CN"/>
        </w:rPr>
        <w:t>加大安全投入。为了加强支护，公司投入12.2万元，购买了两套液压支柱作为临时支护设备，投入35万元购置了锚网、锚杆、水泥砖等临时支护及永久支护材料，根据顶板管理等级，认真落实边采掘边支护的顶板管理措施，坚持“不支护不作业”原则，有效防范顶板变形和垮落。</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强化安全培训教育。分4批次组织入井人员154人进行了顶板管理培训，大连市应急管理局在服务指导中聘请行业专家对公司管理层等48人开展了顶板管理培训，进一步提高现场作业人员顶板管理意识，让作业人员自觉执行“敲帮问顶”制度，自觉对顶板进行支护排除事故隐患，确保作业现场人员生命安全。通过班前会对现场监护人进行安全技术交底，交代安全注意事项，让监护人能够充分发挥监护作用，提高发现问题和解决问题能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突出现场安全管理。公司建立健全领导带班下井制度，每班由带班领导带队加强对井下重点部位、关键环节的检查巡视，及时发现和组织消除事故隐患和险情，坚决制止违章违纪行为。矿井采掘面采场顶板高度得到严格控制，开采作业严格按照设计开采，顶板破碎区域加强了支护措施，有效防范了冒顶片帮事故。</w:t>
      </w:r>
    </w:p>
    <w:p>
      <w:pPr>
        <w:numPr>
          <w:ilvl w:val="0"/>
          <w:numId w:val="0"/>
        </w:numPr>
        <w:spacing w:line="36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14:ligatures w14:val="none"/>
        </w:rPr>
        <w:t>五、</w:t>
      </w:r>
      <w:r>
        <w:rPr>
          <w:rFonts w:hint="eastAsia" w:ascii="黑体" w:hAnsi="黑体" w:eastAsia="黑体" w:cs="黑体"/>
          <w:sz w:val="32"/>
          <w:szCs w:val="32"/>
          <w:lang w:val="en-US" w:eastAsia="zh-CN"/>
        </w:rPr>
        <w:t>评估组评估意见</w:t>
      </w:r>
    </w:p>
    <w:p>
      <w:pPr>
        <w:numPr>
          <w:ilvl w:val="0"/>
          <w:numId w:val="0"/>
        </w:numPr>
        <w:spacing w:line="360" w:lineRule="auto"/>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组通过听取相关部门和单位整改措施落实情况及安全生产状况；调阅事故责任单位及责任人员的追究落实情况；依据事故调查报告对责任单位整改措施落实情况进行核查，责任单位对事故中发现的问题已按要求整改完毕。</w:t>
      </w:r>
    </w:p>
    <w:p>
      <w:pPr>
        <w:numPr>
          <w:ilvl w:val="0"/>
          <w:numId w:val="0"/>
        </w:numPr>
        <w:spacing w:line="360" w:lineRule="auto"/>
        <w:ind w:firstLine="640"/>
        <w:jc w:val="lef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3840" w:firstLineChars="1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大连金来矿业有限责任公司</w:t>
      </w:r>
    </w:p>
    <w:p>
      <w:pPr>
        <w:keepNext w:val="0"/>
        <w:keepLines w:val="0"/>
        <w:pageBreakBefore w:val="0"/>
        <w:widowControl w:val="0"/>
        <w:kinsoku/>
        <w:wordWrap/>
        <w:overflowPunct/>
        <w:topLinePunct w:val="0"/>
        <w:autoSpaceDE/>
        <w:autoSpaceDN/>
        <w:bidi w:val="0"/>
        <w:adjustRightInd/>
        <w:snapToGrid/>
        <w:ind w:firstLine="3200" w:firstLineChars="10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3”一般冒顶片帮事故评估组</w:t>
      </w:r>
    </w:p>
    <w:p>
      <w:pPr>
        <w:keepNext w:val="0"/>
        <w:keepLines w:val="0"/>
        <w:pageBreakBefore w:val="0"/>
        <w:widowControl w:val="0"/>
        <w:kinsoku/>
        <w:wordWrap/>
        <w:overflowPunct/>
        <w:topLinePunct w:val="0"/>
        <w:autoSpaceDE/>
        <w:autoSpaceDN/>
        <w:bidi w:val="0"/>
        <w:adjustRightInd/>
        <w:snapToGrid/>
        <w:ind w:firstLine="4480" w:firstLineChars="14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2026年1月26日</w:t>
      </w:r>
    </w:p>
    <w:p>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5440" w:firstLineChars="1700"/>
        <w:textAlignment w:val="center"/>
        <w:rPr>
          <w:rFonts w:hint="eastAsia" w:ascii="仿宋_GB2312" w:hAnsi="仿宋_GB2312" w:eastAsia="仿宋_GB2312" w:cs="仿宋_GB2312"/>
          <w:sz w:val="32"/>
          <w:szCs w:val="32"/>
          <w:lang w:val="en-US" w:eastAsia="zh-CN"/>
        </w:rPr>
      </w:pPr>
    </w:p>
    <w:p>
      <w:pPr>
        <w:numPr>
          <w:ilvl w:val="0"/>
          <w:numId w:val="0"/>
        </w:numPr>
        <w:spacing w:line="360" w:lineRule="auto"/>
        <w:jc w:val="left"/>
        <w:rPr>
          <w:rFonts w:hint="default" w:ascii="仿宋_GB2312" w:hAnsi="仿宋_GB2312" w:eastAsia="仿宋_GB2312" w:cs="仿宋_GB2312"/>
          <w:sz w:val="32"/>
          <w:szCs w:val="32"/>
          <w:lang w:val="en-US" w:eastAsia="zh-CN"/>
        </w:rPr>
      </w:pPr>
    </w:p>
    <w:sectPr>
      <w:footerReference r:id="rId3" w:type="default"/>
      <w:pgSz w:w="11906" w:h="16838"/>
      <w:pgMar w:top="1440" w:right="1576" w:bottom="1440" w:left="157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小豆岛秋日和简繁-闪"/>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小豆岛秋日和简繁-闪"/>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panose1 w:val="020005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zIxZGY3ZTExZDhlM2ViNGRlZjg1YTdkMWVhZTUifQ=="/>
  </w:docVars>
  <w:rsids>
    <w:rsidRoot w:val="2AAB0122"/>
    <w:rsid w:val="004D282E"/>
    <w:rsid w:val="00D9605F"/>
    <w:rsid w:val="040845C6"/>
    <w:rsid w:val="05272950"/>
    <w:rsid w:val="05B92F7C"/>
    <w:rsid w:val="061F002F"/>
    <w:rsid w:val="07414C7E"/>
    <w:rsid w:val="0764311E"/>
    <w:rsid w:val="08A635E1"/>
    <w:rsid w:val="09701D91"/>
    <w:rsid w:val="0C7C394C"/>
    <w:rsid w:val="0CBF6ABC"/>
    <w:rsid w:val="0CE147DD"/>
    <w:rsid w:val="0D8A6839"/>
    <w:rsid w:val="0EC17DE3"/>
    <w:rsid w:val="10DD24DE"/>
    <w:rsid w:val="110532C6"/>
    <w:rsid w:val="11411C1F"/>
    <w:rsid w:val="122D7038"/>
    <w:rsid w:val="132C0590"/>
    <w:rsid w:val="133700C4"/>
    <w:rsid w:val="13B40DB0"/>
    <w:rsid w:val="14F50E56"/>
    <w:rsid w:val="171A4BA4"/>
    <w:rsid w:val="17493941"/>
    <w:rsid w:val="194F488E"/>
    <w:rsid w:val="1BA5737B"/>
    <w:rsid w:val="1C7E1670"/>
    <w:rsid w:val="1D36455A"/>
    <w:rsid w:val="1D560FA4"/>
    <w:rsid w:val="1E2244CC"/>
    <w:rsid w:val="1EA3340E"/>
    <w:rsid w:val="1EF334A8"/>
    <w:rsid w:val="20077684"/>
    <w:rsid w:val="210D1AC0"/>
    <w:rsid w:val="21577696"/>
    <w:rsid w:val="21631D39"/>
    <w:rsid w:val="21756B47"/>
    <w:rsid w:val="2188745A"/>
    <w:rsid w:val="231468EA"/>
    <w:rsid w:val="23AC08A0"/>
    <w:rsid w:val="24A84C8A"/>
    <w:rsid w:val="25237014"/>
    <w:rsid w:val="25732943"/>
    <w:rsid w:val="26264170"/>
    <w:rsid w:val="26906C30"/>
    <w:rsid w:val="26BB4026"/>
    <w:rsid w:val="272242B2"/>
    <w:rsid w:val="28870F8B"/>
    <w:rsid w:val="29566557"/>
    <w:rsid w:val="2AAB0122"/>
    <w:rsid w:val="2BA06F3F"/>
    <w:rsid w:val="2BEC0EC1"/>
    <w:rsid w:val="2C1018B8"/>
    <w:rsid w:val="2C8418AB"/>
    <w:rsid w:val="2DC755B4"/>
    <w:rsid w:val="2DE7E87A"/>
    <w:rsid w:val="2DFB05C2"/>
    <w:rsid w:val="2F290D77"/>
    <w:rsid w:val="2F515013"/>
    <w:rsid w:val="2FF56026"/>
    <w:rsid w:val="30055F99"/>
    <w:rsid w:val="307B2CC3"/>
    <w:rsid w:val="310F61E7"/>
    <w:rsid w:val="313405BF"/>
    <w:rsid w:val="327F4B62"/>
    <w:rsid w:val="333C6FB7"/>
    <w:rsid w:val="33B85F2B"/>
    <w:rsid w:val="34552598"/>
    <w:rsid w:val="34913EF5"/>
    <w:rsid w:val="35613265"/>
    <w:rsid w:val="3672134B"/>
    <w:rsid w:val="368A3CBE"/>
    <w:rsid w:val="384C0F5D"/>
    <w:rsid w:val="38C8481C"/>
    <w:rsid w:val="39896CEE"/>
    <w:rsid w:val="3BDE523E"/>
    <w:rsid w:val="3CCE7A8F"/>
    <w:rsid w:val="3DBF59D9"/>
    <w:rsid w:val="3DD6F5EC"/>
    <w:rsid w:val="3DFF0F03"/>
    <w:rsid w:val="3E6B706E"/>
    <w:rsid w:val="3E7F3883"/>
    <w:rsid w:val="3EF7B373"/>
    <w:rsid w:val="3F37303D"/>
    <w:rsid w:val="3FF7475F"/>
    <w:rsid w:val="3FFB4013"/>
    <w:rsid w:val="40561A40"/>
    <w:rsid w:val="410A30C4"/>
    <w:rsid w:val="417A3783"/>
    <w:rsid w:val="42E85581"/>
    <w:rsid w:val="431D0056"/>
    <w:rsid w:val="46626AE8"/>
    <w:rsid w:val="477BA6D0"/>
    <w:rsid w:val="47B864FE"/>
    <w:rsid w:val="4936213F"/>
    <w:rsid w:val="4A235529"/>
    <w:rsid w:val="4CD24DB1"/>
    <w:rsid w:val="4EBEBE91"/>
    <w:rsid w:val="51234079"/>
    <w:rsid w:val="5273132C"/>
    <w:rsid w:val="53790E7B"/>
    <w:rsid w:val="54710F87"/>
    <w:rsid w:val="57305253"/>
    <w:rsid w:val="591B08C1"/>
    <w:rsid w:val="5BAC67E0"/>
    <w:rsid w:val="5C1611FC"/>
    <w:rsid w:val="5E7F5783"/>
    <w:rsid w:val="5F1D4451"/>
    <w:rsid w:val="5F2E91E7"/>
    <w:rsid w:val="5F7F656C"/>
    <w:rsid w:val="5F95C030"/>
    <w:rsid w:val="60C3622E"/>
    <w:rsid w:val="62105F13"/>
    <w:rsid w:val="62FF16E6"/>
    <w:rsid w:val="630E72F2"/>
    <w:rsid w:val="63A93C60"/>
    <w:rsid w:val="653E3D8F"/>
    <w:rsid w:val="6581352B"/>
    <w:rsid w:val="673F7A07"/>
    <w:rsid w:val="67CC5B90"/>
    <w:rsid w:val="67EF81BF"/>
    <w:rsid w:val="685D16B3"/>
    <w:rsid w:val="6BFDD2FA"/>
    <w:rsid w:val="6BFFD2DE"/>
    <w:rsid w:val="6D042B59"/>
    <w:rsid w:val="6FCF630E"/>
    <w:rsid w:val="70020FAD"/>
    <w:rsid w:val="70FF9B4D"/>
    <w:rsid w:val="726E1AB7"/>
    <w:rsid w:val="73900A48"/>
    <w:rsid w:val="73AE5E19"/>
    <w:rsid w:val="74BD5F2D"/>
    <w:rsid w:val="759A129F"/>
    <w:rsid w:val="75FFEB7F"/>
    <w:rsid w:val="76655E9E"/>
    <w:rsid w:val="76D17494"/>
    <w:rsid w:val="776901D4"/>
    <w:rsid w:val="789706D7"/>
    <w:rsid w:val="78EA7E01"/>
    <w:rsid w:val="793D7094"/>
    <w:rsid w:val="79FDDBEC"/>
    <w:rsid w:val="7ACC464A"/>
    <w:rsid w:val="7AD16D99"/>
    <w:rsid w:val="7BC93316"/>
    <w:rsid w:val="7BFF04A7"/>
    <w:rsid w:val="7C399A18"/>
    <w:rsid w:val="7D6B1788"/>
    <w:rsid w:val="7DBC0906"/>
    <w:rsid w:val="7DDF31DC"/>
    <w:rsid w:val="7E51204E"/>
    <w:rsid w:val="7EA81551"/>
    <w:rsid w:val="7EDBDD68"/>
    <w:rsid w:val="7EFF15D0"/>
    <w:rsid w:val="7F7F9F12"/>
    <w:rsid w:val="7FF7B6FB"/>
    <w:rsid w:val="7FFD0F8D"/>
    <w:rsid w:val="7FFE0F47"/>
    <w:rsid w:val="7FFE3273"/>
    <w:rsid w:val="7FFFD2E9"/>
    <w:rsid w:val="86A58462"/>
    <w:rsid w:val="ABC6511D"/>
    <w:rsid w:val="ABF79B76"/>
    <w:rsid w:val="AEDEEB7A"/>
    <w:rsid w:val="B6F27F40"/>
    <w:rsid w:val="B787BE31"/>
    <w:rsid w:val="B9F7B029"/>
    <w:rsid w:val="B9FF14C6"/>
    <w:rsid w:val="BD6F4738"/>
    <w:rsid w:val="BF6FE296"/>
    <w:rsid w:val="BFDF552C"/>
    <w:rsid w:val="C2FE4336"/>
    <w:rsid w:val="D1D78E0C"/>
    <w:rsid w:val="D58FA8F5"/>
    <w:rsid w:val="D6B38868"/>
    <w:rsid w:val="D6FFB511"/>
    <w:rsid w:val="DFCFA62F"/>
    <w:rsid w:val="E617756F"/>
    <w:rsid w:val="EBDAB311"/>
    <w:rsid w:val="EBFF9190"/>
    <w:rsid w:val="EFEF701A"/>
    <w:rsid w:val="EFFE080E"/>
    <w:rsid w:val="F3630A5F"/>
    <w:rsid w:val="F37F43A9"/>
    <w:rsid w:val="F77F6665"/>
    <w:rsid w:val="F7CBD01C"/>
    <w:rsid w:val="F7FFD7A8"/>
    <w:rsid w:val="F8BEB937"/>
    <w:rsid w:val="FA5EA439"/>
    <w:rsid w:val="FADD4C96"/>
    <w:rsid w:val="FAEFC309"/>
    <w:rsid w:val="FAF4C01D"/>
    <w:rsid w:val="FBC56CE6"/>
    <w:rsid w:val="FBE905F3"/>
    <w:rsid w:val="FBF4B987"/>
    <w:rsid w:val="FBFD287C"/>
    <w:rsid w:val="FD7AADAC"/>
    <w:rsid w:val="FDA73DB1"/>
    <w:rsid w:val="FEDEFE55"/>
    <w:rsid w:val="FEEFB243"/>
    <w:rsid w:val="FF9FF92E"/>
    <w:rsid w:val="FFBB1A37"/>
    <w:rsid w:val="FFDDFFE3"/>
    <w:rsid w:val="FFF34D5B"/>
    <w:rsid w:val="FFFF9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3"/>
    <w:link w:val="16"/>
    <w:semiHidden/>
    <w:qFormat/>
    <w:uiPriority w:val="0"/>
    <w:rPr>
      <w:rFonts w:ascii="仿宋" w:hAnsi="仿宋" w:eastAsia="仿宋" w:cs="仿宋"/>
      <w:sz w:val="32"/>
      <w:szCs w:val="32"/>
      <w:lang w:val="en-US" w:eastAsia="en-US" w:bidi="ar-SA"/>
    </w:rPr>
  </w:style>
  <w:style w:type="paragraph" w:customStyle="1" w:styleId="3">
    <w:name w:val="First Paragraph"/>
    <w:basedOn w:val="1"/>
    <w:next w:val="2"/>
    <w:qFormat/>
    <w:uiPriority w:val="0"/>
    <w:pPr>
      <w:spacing w:before="180"/>
      <w:ind w:firstLine="480" w:firstLineChars="200"/>
    </w:pPr>
    <w:rPr>
      <w:lang w:eastAsia="zh-CN"/>
    </w:rPr>
  </w:style>
  <w:style w:type="paragraph" w:styleId="4">
    <w:name w:val="Body Text Indent"/>
    <w:basedOn w:val="1"/>
    <w:next w:val="1"/>
    <w:qFormat/>
    <w:uiPriority w:val="0"/>
    <w:pPr>
      <w:spacing w:before="0" w:after="0"/>
      <w:ind w:left="420" w:leftChars="200" w:right="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eastAsia="宋体" w:cs="Times New Roman"/>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14:ligatures w14:val="standardContextual"/>
    </w:rPr>
  </w:style>
  <w:style w:type="paragraph" w:styleId="8">
    <w:name w:val="footnote text"/>
    <w:basedOn w:val="1"/>
    <w:qFormat/>
    <w:uiPriority w:val="0"/>
    <w:pPr>
      <w:snapToGrid w:val="0"/>
      <w:jc w:val="left"/>
    </w:pPr>
    <w:rPr>
      <w:sz w:val="18"/>
    </w:rPr>
  </w:style>
  <w:style w:type="paragraph" w:styleId="9">
    <w:name w:val="Body Text First Indent 2"/>
    <w:basedOn w:val="4"/>
    <w:next w:val="5"/>
    <w:qFormat/>
    <w:uiPriority w:val="0"/>
    <w:pPr>
      <w:spacing w:before="0" w:after="0"/>
      <w:ind w:left="420" w:leftChars="200" w:right="0" w:firstLine="420" w:firstLineChars="200"/>
      <w:jc w:val="both"/>
    </w:pPr>
    <w:rPr>
      <w:rFonts w:ascii="Times New Roman" w:hAnsi="Times New Roman" w:eastAsia="宋体" w:cs="Times New Roman"/>
      <w:kern w:val="2"/>
      <w:sz w:val="21"/>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character" w:customStyle="1" w:styleId="16">
    <w:name w:val="正文文本 Char"/>
    <w:link w:val="2"/>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6256</Words>
  <Characters>6534</Characters>
  <Lines>0</Lines>
  <Paragraphs>0</Paragraphs>
  <TotalTime>2</TotalTime>
  <ScaleCrop>false</ScaleCrop>
  <LinksUpToDate>false</LinksUpToDate>
  <CharactersWithSpaces>6710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2024-11-06T18:51:00Z</dcterms:created>
  <dc:creator>苏玄候</dc:creator>
  <cp:lastModifiedBy>Gxkj-123</cp:lastModifiedBy>
  <cp:lastPrinted>2026-01-27T13:52:00Z</cp:lastPrinted>
  <dcterms:modified xsi:type="dcterms:W3CDTF">2026-05-06T16:00:02Z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E52868F87D5D4B90B4B83070872EE071_11</vt:lpwstr>
  </property>
  <property fmtid="{D5CDD505-2E9C-101B-9397-08002B2CF9AE}" pid="4" name="KSOTemplateDocerSaveRecord">
    <vt:lpwstr>eyJoZGlkIjoiYTlkYzIxZGY3ZTExZDhlM2ViNGRlZjg1YTdkMWVhZTUiLCJ1c2VySWQiOiIxMTI3MjMzNTczIn0=</vt:lpwstr>
  </property>
</Properties>
</file>