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黑体" w:eastAsia="黑体" w:cs="黑体"/>
          <w:color w:val="auto"/>
          <w:sz w:val="30"/>
          <w:szCs w:val="30"/>
        </w:rPr>
      </w:pPr>
    </w:p>
    <w:p>
      <w:pPr>
        <w:spacing w:line="360" w:lineRule="auto"/>
        <w:jc w:val="center"/>
        <w:rPr>
          <w:rFonts w:hint="eastAsia" w:ascii="黑体" w:eastAsia="黑体" w:cs="黑体"/>
          <w:color w:val="auto"/>
          <w:sz w:val="30"/>
          <w:szCs w:val="30"/>
        </w:rPr>
      </w:pPr>
    </w:p>
    <w:p>
      <w:pPr>
        <w:spacing w:line="360" w:lineRule="auto"/>
        <w:jc w:val="center"/>
        <w:rPr>
          <w:rFonts w:hint="eastAsia" w:ascii="黑体" w:eastAsia="黑体" w:cs="黑体"/>
          <w:color w:val="auto"/>
          <w:sz w:val="30"/>
          <w:szCs w:val="30"/>
        </w:rPr>
      </w:pPr>
    </w:p>
    <w:p>
      <w:pPr>
        <w:spacing w:line="360" w:lineRule="auto"/>
        <w:rPr>
          <w:rFonts w:hint="eastAsia" w:ascii="方正小标宋简体" w:eastAsia="方正小标宋简体" w:cs="黑体"/>
          <w:color w:val="auto"/>
          <w:sz w:val="30"/>
          <w:szCs w:val="30"/>
        </w:rPr>
      </w:pPr>
    </w:p>
    <w:p>
      <w:pPr>
        <w:spacing w:line="360" w:lineRule="auto"/>
        <w:jc w:val="center"/>
        <w:rPr>
          <w:rFonts w:ascii="方正小标宋简体" w:hAnsi="华文中宋" w:eastAsia="方正小标宋简体" w:cs="黑体"/>
          <w:b/>
          <w:color w:val="auto"/>
          <w:sz w:val="72"/>
          <w:szCs w:val="72"/>
        </w:rPr>
      </w:pPr>
      <w:r>
        <w:rPr>
          <w:rFonts w:hint="eastAsia" w:ascii="方正小标宋简体" w:hAnsi="华文中宋" w:eastAsia="方正小标宋简体" w:cs="黑体"/>
          <w:b/>
          <w:color w:val="auto"/>
          <w:sz w:val="72"/>
          <w:szCs w:val="72"/>
        </w:rPr>
        <w:t>庄河市荷花山镇人民政府</w:t>
      </w: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28"/>
          <w:szCs w:val="28"/>
        </w:rPr>
      </w:pPr>
    </w:p>
    <w:p>
      <w:pPr>
        <w:spacing w:line="360" w:lineRule="auto"/>
        <w:jc w:val="center"/>
        <w:outlineLvl w:val="0"/>
        <w:rPr>
          <w:rFonts w:ascii="方正小标宋简体" w:hAnsi="华文中宋" w:eastAsia="方正小标宋简体" w:cs="黑体"/>
          <w:b/>
          <w:color w:val="auto"/>
          <w:sz w:val="72"/>
          <w:szCs w:val="72"/>
        </w:rPr>
      </w:pPr>
      <w:r>
        <w:rPr>
          <w:rFonts w:hint="eastAsia" w:ascii="方正小标宋简体" w:hAnsi="华文中宋" w:eastAsia="方正小标宋简体" w:cs="黑体"/>
          <w:b/>
          <w:color w:val="auto"/>
          <w:sz w:val="72"/>
          <w:szCs w:val="72"/>
          <w:lang w:eastAsia="zh-CN"/>
        </w:rPr>
        <w:t>202</w:t>
      </w:r>
      <w:r>
        <w:rPr>
          <w:rFonts w:hint="eastAsia" w:ascii="方正小标宋简体" w:hAnsi="华文中宋" w:eastAsia="方正小标宋简体" w:cs="黑体"/>
          <w:b/>
          <w:color w:val="auto"/>
          <w:sz w:val="72"/>
          <w:szCs w:val="72"/>
          <w:lang w:val="en-US" w:eastAsia="zh-CN"/>
        </w:rPr>
        <w:t>2</w:t>
      </w:r>
      <w:bookmarkStart w:id="0" w:name="_GoBack"/>
      <w:bookmarkEnd w:id="0"/>
      <w:r>
        <w:rPr>
          <w:rFonts w:hint="eastAsia" w:ascii="方正小标宋简体" w:hAnsi="华文中宋" w:eastAsia="方正小标宋简体" w:cs="黑体"/>
          <w:b/>
          <w:color w:val="auto"/>
          <w:sz w:val="72"/>
          <w:szCs w:val="72"/>
        </w:rPr>
        <w:t>年度部门决算</w:t>
      </w:r>
    </w:p>
    <w:p>
      <w:pPr>
        <w:spacing w:line="360" w:lineRule="auto"/>
        <w:jc w:val="center"/>
        <w:rPr>
          <w:rFonts w:ascii="黑体" w:hAnsi="华文中宋" w:eastAsia="黑体" w:cs="黑体"/>
          <w:b/>
          <w:color w:val="auto"/>
          <w:sz w:val="32"/>
          <w:szCs w:val="32"/>
        </w:rPr>
      </w:pPr>
      <w:r>
        <w:rPr>
          <w:rFonts w:ascii="华文中宋" w:hAnsi="华文中宋" w:eastAsia="华文中宋" w:cs="黑体"/>
          <w:b/>
          <w:color w:val="auto"/>
          <w:sz w:val="44"/>
          <w:szCs w:val="44"/>
        </w:rPr>
        <w:drawing>
          <wp:anchor distT="0" distB="0" distL="114300" distR="114300" simplePos="0" relativeHeight="251659264" behindDoc="0" locked="0" layoutInCell="1" allowOverlap="1">
            <wp:simplePos x="0" y="0"/>
            <wp:positionH relativeFrom="column">
              <wp:posOffset>1089660</wp:posOffset>
            </wp:positionH>
            <wp:positionV relativeFrom="paragraph">
              <wp:posOffset>428625</wp:posOffset>
            </wp:positionV>
            <wp:extent cx="3079750" cy="2762885"/>
            <wp:effectExtent l="0" t="0" r="6350" b="18415"/>
            <wp:wrapNone/>
            <wp:docPr id="1" name="图片 2" descr="QQ截图2020111110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QQ截图20201111104232"/>
                    <pic:cNvPicPr>
                      <a:picLocks noChangeAspect="1"/>
                    </pic:cNvPicPr>
                  </pic:nvPicPr>
                  <pic:blipFill>
                    <a:blip r:embed="rId11"/>
                    <a:stretch>
                      <a:fillRect/>
                    </a:stretch>
                  </pic:blipFill>
                  <pic:spPr>
                    <a:xfrm rot="10800000">
                      <a:off x="0" y="0"/>
                      <a:ext cx="3079750" cy="2762885"/>
                    </a:xfrm>
                    <a:prstGeom prst="rect">
                      <a:avLst/>
                    </a:prstGeom>
                    <a:noFill/>
                    <a:ln>
                      <a:noFill/>
                    </a:ln>
                  </pic:spPr>
                </pic:pic>
              </a:graphicData>
            </a:graphic>
          </wp:anchor>
        </w:drawing>
      </w:r>
      <w:r>
        <w:rPr>
          <w:rFonts w:ascii="华文中宋" w:hAnsi="华文中宋" w:eastAsia="华文中宋" w:cs="黑体"/>
          <w:b/>
          <w:color w:val="auto"/>
          <w:sz w:val="44"/>
          <w:szCs w:val="44"/>
        </w:rPr>
        <w:br w:type="page"/>
      </w:r>
      <w:r>
        <w:rPr>
          <w:rFonts w:hint="eastAsia" w:ascii="黑体" w:hAnsi="华文中宋" w:eastAsia="黑体" w:cs="黑体"/>
          <w:b/>
          <w:color w:val="auto"/>
          <w:sz w:val="32"/>
          <w:szCs w:val="32"/>
        </w:rPr>
        <w:t>目</w:t>
      </w:r>
      <w:r>
        <w:rPr>
          <w:rFonts w:ascii="黑体" w:hAnsi="华文中宋" w:eastAsia="黑体" w:cs="黑体"/>
          <w:b/>
          <w:color w:val="auto"/>
          <w:sz w:val="32"/>
          <w:szCs w:val="32"/>
        </w:rPr>
        <w:t xml:space="preserve">  </w:t>
      </w:r>
      <w:r>
        <w:rPr>
          <w:rFonts w:hint="eastAsia" w:ascii="黑体" w:hAnsi="华文中宋" w:eastAsia="黑体" w:cs="黑体"/>
          <w:b/>
          <w:color w:val="auto"/>
          <w:sz w:val="32"/>
          <w:szCs w:val="32"/>
        </w:rPr>
        <w:t>录</w:t>
      </w:r>
    </w:p>
    <w:p>
      <w:pPr>
        <w:spacing w:line="360" w:lineRule="auto"/>
        <w:jc w:val="center"/>
        <w:rPr>
          <w:rFonts w:ascii="华文中宋" w:hAnsi="华文中宋" w:eastAsia="华文中宋" w:cs="黑体"/>
          <w:b/>
          <w:color w:val="auto"/>
          <w:sz w:val="36"/>
        </w:rPr>
      </w:pP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第一部分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庄河市人民政府荷花山镇人民政府概况</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一、主要职能</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二、部门决算单位构成</w:t>
      </w: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第二部分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202</w:t>
      </w:r>
      <w:r>
        <w:rPr>
          <w:rFonts w:hint="eastAsia" w:ascii="黑体" w:eastAsia="黑体" w:cs="黑体"/>
          <w:color w:val="auto"/>
          <w:sz w:val="30"/>
          <w:szCs w:val="30"/>
          <w:lang w:val="en-US" w:eastAsia="zh-CN"/>
        </w:rPr>
        <w:t>2</w:t>
      </w:r>
      <w:r>
        <w:rPr>
          <w:rFonts w:hint="eastAsia" w:ascii="黑体" w:eastAsia="黑体" w:cs="黑体"/>
          <w:color w:val="auto"/>
          <w:sz w:val="30"/>
          <w:szCs w:val="30"/>
        </w:rPr>
        <w:t>年度部门决算表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一、收入支出决算总表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二、收入决算表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三、支出决算表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四、财政拨款收入支出决算总表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五、一般公共预算财政拨款支出决算表</w:t>
      </w:r>
    </w:p>
    <w:p>
      <w:pPr>
        <w:spacing w:line="360" w:lineRule="auto"/>
        <w:rPr>
          <w:rFonts w:hint="eastAsia" w:ascii="黑体" w:eastAsia="黑体" w:cs="黑体"/>
          <w:color w:val="auto"/>
          <w:sz w:val="30"/>
          <w:szCs w:val="30"/>
        </w:rPr>
      </w:pPr>
      <w:r>
        <w:rPr>
          <w:rFonts w:hint="eastAsia" w:ascii="楷体_GB2312" w:eastAsia="楷体_GB2312" w:cs="黑体"/>
          <w:color w:val="auto"/>
          <w:sz w:val="30"/>
          <w:szCs w:val="30"/>
        </w:rPr>
        <w:t>六、一般公共预算财政拨款基本支出决算表</w:t>
      </w:r>
    </w:p>
    <w:p>
      <w:pPr>
        <w:spacing w:line="360" w:lineRule="auto"/>
        <w:rPr>
          <w:rFonts w:hint="eastAsia" w:ascii="楷体_GB2312" w:eastAsia="楷体_GB2312" w:cs="黑体"/>
          <w:color w:val="auto"/>
          <w:sz w:val="30"/>
          <w:szCs w:val="30"/>
        </w:rPr>
      </w:pPr>
      <w:r>
        <w:rPr>
          <w:rFonts w:hint="eastAsia" w:ascii="楷体_GB2312" w:eastAsia="楷体_GB2312" w:cs="黑体"/>
          <w:color w:val="auto"/>
          <w:sz w:val="30"/>
          <w:szCs w:val="30"/>
        </w:rPr>
        <w:t>七、一般公共预算财政拨款“三公”经费及机关运行经费支出决算表</w:t>
      </w:r>
    </w:p>
    <w:p>
      <w:pPr>
        <w:spacing w:line="360" w:lineRule="auto"/>
        <w:rPr>
          <w:rFonts w:hint="eastAsia" w:ascii="楷体_GB2312" w:eastAsia="楷体_GB2312" w:cs="黑体"/>
          <w:color w:val="auto"/>
          <w:sz w:val="30"/>
          <w:szCs w:val="30"/>
        </w:rPr>
      </w:pPr>
      <w:r>
        <w:rPr>
          <w:rFonts w:hint="eastAsia" w:ascii="楷体_GB2312" w:eastAsia="楷体_GB2312" w:cs="黑体"/>
          <w:color w:val="auto"/>
          <w:sz w:val="30"/>
          <w:szCs w:val="30"/>
        </w:rPr>
        <w:t>八、政府性基金预算财政拨款收入支出决算表</w:t>
      </w: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第三部分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w:t>
      </w:r>
      <w:r>
        <w:rPr>
          <w:rFonts w:hint="eastAsia" w:ascii="黑体" w:eastAsia="黑体" w:cs="黑体"/>
          <w:color w:val="auto"/>
          <w:sz w:val="30"/>
          <w:szCs w:val="30"/>
          <w:lang w:val="en-US" w:eastAsia="zh-CN"/>
        </w:rPr>
        <w:t>22</w:t>
      </w:r>
      <w:r>
        <w:rPr>
          <w:rFonts w:hint="eastAsia" w:ascii="黑体" w:eastAsia="黑体" w:cs="黑体"/>
          <w:color w:val="auto"/>
          <w:sz w:val="30"/>
          <w:szCs w:val="30"/>
        </w:rPr>
        <w:t>年度部门决算情况说明</w:t>
      </w:r>
    </w:p>
    <w:p>
      <w:pPr>
        <w:spacing w:line="360" w:lineRule="auto"/>
        <w:rPr>
          <w:rFonts w:hint="eastAsia" w:ascii="黑体" w:eastAsia="黑体" w:cs="黑体"/>
          <w:color w:val="auto"/>
          <w:sz w:val="30"/>
          <w:szCs w:val="30"/>
        </w:rPr>
      </w:pPr>
      <w:r>
        <w:rPr>
          <w:rFonts w:hint="eastAsia" w:ascii="黑体" w:eastAsia="黑体" w:cs="黑体"/>
          <w:color w:val="auto"/>
          <w:sz w:val="30"/>
          <w:szCs w:val="30"/>
        </w:rPr>
        <w:t>第四部分</w:t>
      </w:r>
      <w:r>
        <w:rPr>
          <w:rFonts w:ascii="黑体" w:eastAsia="黑体" w:cs="黑体"/>
          <w:color w:val="auto"/>
          <w:sz w:val="30"/>
          <w:szCs w:val="30"/>
        </w:rPr>
        <w:t xml:space="preserve"> </w:t>
      </w:r>
      <w:r>
        <w:rPr>
          <w:rFonts w:hint="eastAsia" w:ascii="黑体" w:eastAsia="黑体" w:cs="黑体"/>
          <w:color w:val="auto"/>
          <w:sz w:val="30"/>
          <w:szCs w:val="30"/>
        </w:rPr>
        <w:t>名词解释</w:t>
      </w:r>
    </w:p>
    <w:p>
      <w:pPr>
        <w:spacing w:line="360" w:lineRule="auto"/>
        <w:rPr>
          <w:rFonts w:hint="eastAsia" w:ascii="黑体" w:eastAsia="黑体" w:cs="黑体"/>
          <w:color w:val="auto"/>
          <w:sz w:val="30"/>
          <w:szCs w:val="30"/>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fmt="numberInDash"/>
          <w:cols w:space="425" w:num="1"/>
          <w:docGrid w:type="lines" w:linePitch="312" w:charSpace="0"/>
        </w:sectPr>
      </w:pPr>
    </w:p>
    <w:p>
      <w:pPr>
        <w:jc w:val="center"/>
        <w:rPr>
          <w:rFonts w:hint="eastAsia" w:ascii="黑体" w:eastAsia="黑体" w:cs="黑体"/>
          <w:color w:val="auto"/>
          <w:sz w:val="30"/>
          <w:szCs w:val="30"/>
        </w:rPr>
      </w:pPr>
      <w:r>
        <w:rPr>
          <w:rFonts w:hint="eastAsia" w:ascii="黑体" w:eastAsia="黑体" w:cs="黑体"/>
          <w:color w:val="auto"/>
          <w:sz w:val="30"/>
          <w:szCs w:val="30"/>
        </w:rPr>
        <w:t>第一部分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庄河市人民政府荷花山镇人民政府概况</w:t>
      </w:r>
    </w:p>
    <w:p>
      <w:pPr>
        <w:jc w:val="center"/>
        <w:rPr>
          <w:rFonts w:hint="eastAsia" w:ascii="黑体" w:eastAsia="黑体" w:cs="黑体"/>
          <w:color w:val="auto"/>
          <w:sz w:val="30"/>
          <w:szCs w:val="30"/>
        </w:rPr>
      </w:pP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一、主要职能</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（一）执行党和国家的各项方针、政策、法令、法规，在市委、市政府领导下完成各项任务。</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二）建设社会主义物质文明和精神文明，以经济建设为中心，发展街道商业、服务业，指导街道经济组织发展经济，拓宽经济活动的领域，为经济组织提供服务，运用经济、法律和必要的行政手段管理街道经济。把街道建设成为经济繁荣、文化发达、道德高尚、社会安定、生活方便、环境优美的社会主义新城区。</w:t>
      </w:r>
      <w:r>
        <w:rPr>
          <w:rFonts w:ascii="仿宋_GB2312" w:eastAsia="仿宋_GB2312" w:cs="黑体"/>
          <w:color w:val="auto"/>
          <w:sz w:val="30"/>
          <w:szCs w:val="30"/>
        </w:rPr>
        <w:t xml:space="preserve">       </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（三）负责辖区内的社会治安综合治理，人民调解、法律服务工作，依照有关规定管理外来流动人员。</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（四）开展社区服务、拥军优属工作，负责社区优抚、社会救济、社会福利、婚姻登记工作，兴办社会福利及残疾人福利事业，社区文化、科普、体育、教育工作。</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（五）按照职责范围做好城市建设管理监察、计划生育、爱国卫生、初级卫生保健、市容环境卫生、绿化、环境保护、劳动就业、安全生产等管理工作。</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（六）配合有关部门做好防汛、防风、防火、防震、抢险和防灾救灾工作。</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（七）指导和帮助社区居民委员会的工作，促进社区居民委员会的依法建设和发挥</w:t>
      </w:r>
      <w:r>
        <w:rPr>
          <w:rFonts w:ascii="仿宋_GB2312" w:eastAsia="仿宋_GB2312" w:cs="黑体"/>
          <w:color w:val="auto"/>
          <w:sz w:val="30"/>
          <w:szCs w:val="30"/>
        </w:rPr>
        <w:t>"</w:t>
      </w:r>
      <w:r>
        <w:rPr>
          <w:rFonts w:hint="eastAsia" w:ascii="仿宋_GB2312" w:eastAsia="仿宋_GB2312" w:cs="黑体"/>
          <w:color w:val="auto"/>
          <w:sz w:val="30"/>
          <w:szCs w:val="30"/>
        </w:rPr>
        <w:t>三自</w:t>
      </w:r>
      <w:r>
        <w:rPr>
          <w:rFonts w:ascii="仿宋_GB2312" w:eastAsia="仿宋_GB2312" w:cs="黑体"/>
          <w:color w:val="auto"/>
          <w:sz w:val="30"/>
          <w:szCs w:val="30"/>
        </w:rPr>
        <w:t>"</w:t>
      </w:r>
      <w:r>
        <w:rPr>
          <w:rFonts w:hint="eastAsia" w:ascii="仿宋_GB2312" w:eastAsia="仿宋_GB2312" w:cs="黑体"/>
          <w:color w:val="auto"/>
          <w:sz w:val="30"/>
          <w:szCs w:val="30"/>
        </w:rPr>
        <w:t>（自我教育、自我管理、自我服务）作用。</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（八）向市政府反映居民群众的意见和要求，办理人民群众的来信来访等事项。</w:t>
      </w:r>
    </w:p>
    <w:p>
      <w:pPr>
        <w:ind w:firstLine="600" w:firstLineChars="200"/>
        <w:outlineLvl w:val="0"/>
        <w:rPr>
          <w:rFonts w:hint="eastAsia" w:ascii="仿宋_GB2312" w:eastAsia="仿宋_GB2312" w:cs="黑体"/>
          <w:color w:val="auto"/>
          <w:sz w:val="30"/>
          <w:szCs w:val="30"/>
        </w:rPr>
      </w:pPr>
      <w:r>
        <w:rPr>
          <w:rFonts w:hint="eastAsia" w:ascii="仿宋_GB2312" w:eastAsia="仿宋_GB2312" w:cs="黑体"/>
          <w:color w:val="auto"/>
          <w:sz w:val="30"/>
          <w:szCs w:val="30"/>
        </w:rPr>
        <w:t>（九）承办市政府交办的其他事项。</w:t>
      </w:r>
    </w:p>
    <w:p>
      <w:pPr>
        <w:ind w:firstLine="602" w:firstLineChars="200"/>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二、部门决算单位构成</w:t>
      </w:r>
    </w:p>
    <w:p>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从预算单位构成看，</w:t>
      </w:r>
      <w:r>
        <w:rPr>
          <w:rFonts w:hint="eastAsia" w:ascii="仿宋_GB2312" w:hAnsi="宋体" w:eastAsia="仿宋_GB2312" w:cs="黑体"/>
          <w:color w:val="auto"/>
          <w:sz w:val="30"/>
          <w:szCs w:val="30"/>
        </w:rPr>
        <w:t>庄河市</w:t>
      </w:r>
      <w:r>
        <w:rPr>
          <w:rFonts w:hint="eastAsia" w:ascii="黑体" w:eastAsia="黑体" w:cs="黑体"/>
          <w:color w:val="auto"/>
          <w:sz w:val="30"/>
          <w:szCs w:val="30"/>
        </w:rPr>
        <w:t>人民政府荷花山镇人民政府</w:t>
      </w:r>
      <w:r>
        <w:rPr>
          <w:rFonts w:hint="eastAsia" w:ascii="仿宋_GB2312" w:eastAsia="仿宋_GB2312" w:cs="黑体"/>
          <w:color w:val="auto"/>
          <w:sz w:val="30"/>
          <w:szCs w:val="30"/>
        </w:rPr>
        <w:t>决算包括：人民政府荷花山镇人民政府。</w:t>
      </w:r>
    </w:p>
    <w:p>
      <w:pPr>
        <w:rPr>
          <w:rFonts w:hint="eastAsia" w:ascii="仿宋_GB2312" w:eastAsia="仿宋_GB2312" w:cs="黑体"/>
          <w:color w:val="auto"/>
          <w:sz w:val="30"/>
          <w:szCs w:val="30"/>
        </w:rPr>
      </w:pPr>
      <w:r>
        <w:rPr>
          <w:rFonts w:hint="eastAsia" w:ascii="仿宋_GB2312" w:eastAsia="仿宋_GB2312" w:cs="黑体"/>
          <w:color w:val="auto"/>
          <w:sz w:val="30"/>
          <w:szCs w:val="30"/>
        </w:rPr>
        <w:t>纳入</w:t>
      </w:r>
      <w:r>
        <w:rPr>
          <w:rFonts w:hint="eastAsia" w:ascii="仿宋_GB2312" w:hAnsi="宋体" w:eastAsia="仿宋_GB2312" w:cs="黑体"/>
          <w:color w:val="auto"/>
          <w:sz w:val="30"/>
          <w:szCs w:val="30"/>
        </w:rPr>
        <w:t>庄河市人民政府荷花山镇</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年度部门决算编制范围的单位包括：</w:t>
      </w:r>
    </w:p>
    <w:tbl>
      <w:tblPr>
        <w:tblStyle w:val="9"/>
        <w:tblW w:w="84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576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900" w:type="dxa"/>
            <w:vAlign w:val="center"/>
          </w:tcPr>
          <w:p>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序号</w:t>
            </w:r>
          </w:p>
        </w:tc>
        <w:tc>
          <w:tcPr>
            <w:tcW w:w="5760" w:type="dxa"/>
            <w:vAlign w:val="center"/>
          </w:tcPr>
          <w:p>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单位名称</w:t>
            </w:r>
          </w:p>
        </w:tc>
        <w:tc>
          <w:tcPr>
            <w:tcW w:w="1800" w:type="dxa"/>
            <w:vAlign w:val="center"/>
          </w:tcPr>
          <w:p>
            <w:pPr>
              <w:jc w:val="center"/>
              <w:rPr>
                <w:rFonts w:hint="eastAsia" w:ascii="仿宋_GB2312" w:eastAsia="仿宋_GB2312" w:cs="黑体"/>
                <w:color w:val="auto"/>
                <w:sz w:val="30"/>
                <w:szCs w:val="30"/>
              </w:rPr>
            </w:pPr>
            <w:r>
              <w:rPr>
                <w:rFonts w:hint="eastAsia" w:ascii="仿宋_GB2312" w:eastAsia="仿宋_GB2312" w:cs="黑体"/>
                <w:color w:val="auto"/>
                <w:sz w:val="30"/>
                <w:szCs w:val="3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1</w:t>
            </w:r>
          </w:p>
        </w:tc>
        <w:tc>
          <w:tcPr>
            <w:tcW w:w="5760" w:type="dxa"/>
            <w:vAlign w:val="center"/>
          </w:tcPr>
          <w:p>
            <w:pPr>
              <w:rPr>
                <w:rFonts w:ascii="仿宋_GB2312" w:hAnsi="宋体" w:eastAsia="仿宋_GB2312" w:cs="黑体"/>
                <w:color w:val="auto"/>
                <w:sz w:val="30"/>
                <w:szCs w:val="30"/>
              </w:rPr>
            </w:pPr>
            <w:r>
              <w:rPr>
                <w:rFonts w:hint="eastAsia" w:ascii="仿宋_GB2312" w:hAnsi="宋体" w:eastAsia="仿宋_GB2312" w:cs="黑体"/>
                <w:color w:val="auto"/>
                <w:sz w:val="30"/>
                <w:szCs w:val="30"/>
              </w:rPr>
              <w:t>庄河市人民政府荷花山镇人民政府（本级）</w:t>
            </w: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2</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3</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4</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5</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6</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7</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00" w:type="dxa"/>
            <w:vAlign w:val="center"/>
          </w:tcPr>
          <w:p>
            <w:pPr>
              <w:jc w:val="center"/>
              <w:rPr>
                <w:rFonts w:hint="eastAsia" w:ascii="仿宋_GB2312" w:eastAsia="仿宋_GB2312" w:cs="黑体"/>
                <w:color w:val="auto"/>
                <w:sz w:val="30"/>
                <w:szCs w:val="30"/>
              </w:rPr>
            </w:pPr>
            <w:r>
              <w:rPr>
                <w:rFonts w:ascii="仿宋_GB2312" w:eastAsia="仿宋_GB2312" w:cs="黑体"/>
                <w:color w:val="auto"/>
                <w:sz w:val="30"/>
                <w:szCs w:val="30"/>
              </w:rPr>
              <w:t>8</w:t>
            </w:r>
          </w:p>
        </w:tc>
        <w:tc>
          <w:tcPr>
            <w:tcW w:w="5760" w:type="dxa"/>
            <w:vAlign w:val="center"/>
          </w:tcPr>
          <w:p>
            <w:pPr>
              <w:rPr>
                <w:rFonts w:hint="eastAsia" w:ascii="仿宋_GB2312" w:eastAsia="仿宋_GB2312" w:cs="黑体"/>
                <w:color w:val="auto"/>
                <w:sz w:val="30"/>
                <w:szCs w:val="30"/>
              </w:rPr>
            </w:pPr>
          </w:p>
        </w:tc>
        <w:tc>
          <w:tcPr>
            <w:tcW w:w="1800" w:type="dxa"/>
            <w:vAlign w:val="center"/>
          </w:tcPr>
          <w:p>
            <w:pPr>
              <w:rPr>
                <w:rFonts w:hint="eastAsia" w:ascii="仿宋_GB2312" w:eastAsia="仿宋_GB2312" w:cs="黑体"/>
                <w:color w:val="auto"/>
                <w:sz w:val="30"/>
                <w:szCs w:val="30"/>
              </w:rPr>
            </w:pPr>
          </w:p>
        </w:tc>
      </w:tr>
    </w:tbl>
    <w:p>
      <w:pPr>
        <w:jc w:val="center"/>
        <w:rPr>
          <w:rFonts w:hint="eastAsia" w:ascii="黑体" w:eastAsia="黑体" w:cs="黑体"/>
          <w:color w:val="auto"/>
          <w:sz w:val="30"/>
          <w:szCs w:val="30"/>
        </w:rPr>
      </w:pPr>
      <w:r>
        <w:rPr>
          <w:rFonts w:ascii="黑体" w:eastAsia="黑体" w:cs="黑体"/>
          <w:b/>
          <w:color w:val="auto"/>
          <w:sz w:val="32"/>
        </w:rPr>
        <w:br w:type="page"/>
      </w:r>
      <w:r>
        <w:rPr>
          <w:rFonts w:hint="eastAsia" w:ascii="黑体" w:eastAsia="黑体" w:cs="黑体"/>
          <w:color w:val="auto"/>
          <w:sz w:val="30"/>
          <w:szCs w:val="30"/>
        </w:rPr>
        <w:t>第二部分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p>
    <w:p>
      <w:pPr>
        <w:jc w:val="center"/>
        <w:rPr>
          <w:rFonts w:hint="eastAsia" w:ascii="黑体" w:eastAsia="黑体" w:cs="黑体"/>
          <w:color w:val="auto"/>
          <w:sz w:val="30"/>
          <w:szCs w:val="30"/>
        </w:rPr>
      </w:pPr>
      <w:r>
        <w:rPr>
          <w:rFonts w:hint="eastAsia" w:ascii="黑体" w:eastAsia="黑体" w:cs="黑体"/>
          <w:color w:val="auto"/>
          <w:sz w:val="30"/>
          <w:szCs w:val="30"/>
          <w:lang w:eastAsia="zh-CN"/>
        </w:rPr>
        <w:t>202</w:t>
      </w:r>
      <w:r>
        <w:rPr>
          <w:rFonts w:hint="eastAsia" w:ascii="黑体" w:eastAsia="黑体" w:cs="黑体"/>
          <w:color w:val="auto"/>
          <w:sz w:val="30"/>
          <w:szCs w:val="30"/>
          <w:lang w:val="en-US" w:eastAsia="zh-CN"/>
        </w:rPr>
        <w:t>2</w:t>
      </w:r>
      <w:r>
        <w:rPr>
          <w:rFonts w:hint="eastAsia" w:ascii="黑体" w:eastAsia="黑体" w:cs="黑体"/>
          <w:color w:val="auto"/>
          <w:sz w:val="30"/>
          <w:szCs w:val="30"/>
        </w:rPr>
        <w:t>年度部门决算表</w:t>
      </w:r>
    </w:p>
    <w:p>
      <w:pPr>
        <w:autoSpaceDE w:val="0"/>
        <w:autoSpaceDN w:val="0"/>
        <w:adjustRightInd w:val="0"/>
        <w:jc w:val="center"/>
        <w:outlineLvl w:val="0"/>
        <w:rPr>
          <w:rFonts w:ascii="方正小标宋简体" w:hAnsi="宋体" w:eastAsia="方正小标宋简体" w:cs="黑体"/>
          <w:color w:val="auto"/>
          <w:sz w:val="32"/>
          <w:szCs w:val="32"/>
        </w:rPr>
      </w:pPr>
      <w:r>
        <w:rPr>
          <w:rFonts w:hint="eastAsia" w:ascii="方正小标宋简体" w:hAnsi="宋体" w:eastAsia="方正小标宋简体" w:cs="黑体"/>
          <w:color w:val="auto"/>
          <w:sz w:val="32"/>
          <w:szCs w:val="32"/>
          <w:lang w:eastAsia="zh-CN"/>
        </w:rPr>
        <w:t>202</w:t>
      </w:r>
      <w:r>
        <w:rPr>
          <w:rFonts w:hint="eastAsia" w:ascii="方正小标宋简体" w:hAnsi="宋体" w:eastAsia="方正小标宋简体" w:cs="黑体"/>
          <w:color w:val="auto"/>
          <w:sz w:val="32"/>
          <w:szCs w:val="32"/>
          <w:lang w:val="en-US" w:eastAsia="zh-CN"/>
        </w:rPr>
        <w:t>2</w:t>
      </w:r>
      <w:r>
        <w:rPr>
          <w:rFonts w:hint="eastAsia" w:ascii="方正小标宋简体" w:hAnsi="宋体" w:eastAsia="方正小标宋简体" w:cs="黑体"/>
          <w:color w:val="auto"/>
          <w:sz w:val="32"/>
          <w:szCs w:val="32"/>
        </w:rPr>
        <w:t>年度收入支出决算总表</w:t>
      </w:r>
    </w:p>
    <w:p>
      <w:pPr>
        <w:autoSpaceDE w:val="0"/>
        <w:autoSpaceDN w:val="0"/>
        <w:adjustRightInd w:val="0"/>
        <w:jc w:val="left"/>
        <w:rPr>
          <w:rFonts w:ascii="黑体" w:hAnsi="黑体" w:eastAsia="黑体" w:cs="黑体"/>
          <w:color w:val="auto"/>
          <w:szCs w:val="21"/>
        </w:rPr>
      </w:pPr>
      <w:r>
        <w:rPr>
          <w:rFonts w:hint="eastAsia" w:ascii="黑体" w:hAnsi="黑体" w:eastAsia="黑体" w:cs="黑体"/>
          <w:color w:val="auto"/>
          <w:szCs w:val="21"/>
        </w:rPr>
        <w:t>公开</w:t>
      </w:r>
      <w:r>
        <w:rPr>
          <w:rFonts w:ascii="黑体" w:hAnsi="黑体" w:eastAsia="黑体" w:cs="黑体"/>
          <w:color w:val="auto"/>
          <w:szCs w:val="21"/>
        </w:rPr>
        <w:t>01</w:t>
      </w:r>
      <w:r>
        <w:rPr>
          <w:rFonts w:hint="eastAsia" w:ascii="黑体" w:hAnsi="黑体" w:eastAsia="黑体" w:cs="黑体"/>
          <w:color w:val="auto"/>
          <w:szCs w:val="21"/>
        </w:rPr>
        <w:t>表</w:t>
      </w:r>
      <w:r>
        <w:rPr>
          <w:rFonts w:ascii="黑体" w:hAnsi="黑体" w:eastAsia="黑体" w:cs="黑体"/>
          <w:color w:val="auto"/>
          <w:szCs w:val="21"/>
        </w:rPr>
        <w:t xml:space="preserve">                                                             </w:t>
      </w:r>
      <w:r>
        <w:rPr>
          <w:rFonts w:hint="eastAsia" w:ascii="黑体" w:hAnsi="黑体" w:eastAsia="黑体" w:cs="黑体"/>
          <w:color w:val="auto"/>
          <w:szCs w:val="21"/>
        </w:rPr>
        <w:t>单位：万元</w:t>
      </w:r>
    </w:p>
    <w:tbl>
      <w:tblPr>
        <w:tblStyle w:val="9"/>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77"/>
        <w:gridCol w:w="556"/>
        <w:gridCol w:w="887"/>
        <w:gridCol w:w="2820"/>
        <w:gridCol w:w="578"/>
        <w:gridCol w:w="9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320"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收入</w:t>
            </w:r>
          </w:p>
        </w:tc>
        <w:tc>
          <w:tcPr>
            <w:tcW w:w="4320" w:type="dxa"/>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决算数</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项目(按功能分类)</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4,581.43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762.59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124.20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439.47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2,631.05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4,581.43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58</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4581.43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结余分配</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59</w:t>
            </w:r>
          </w:p>
        </w:tc>
        <w:tc>
          <w:tcPr>
            <w:tcW w:w="0" w:type="auto"/>
            <w:tcBorders>
              <w:top w:val="nil"/>
              <w:left w:val="nil"/>
              <w:bottom w:val="single" w:color="000000" w:sz="4" w:space="0"/>
              <w:right w:val="single" w:color="000000" w:sz="4" w:space="0"/>
            </w:tcBorders>
            <w:shd w:val="clear" w:color="FFFFFF" w:fill="C0C0C0"/>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年初结转和结余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    年末结转和结余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60</w:t>
            </w:r>
          </w:p>
        </w:tc>
        <w:tc>
          <w:tcPr>
            <w:tcW w:w="0" w:type="auto"/>
            <w:tcBorders>
              <w:top w:val="nil"/>
              <w:left w:val="nil"/>
              <w:bottom w:val="single" w:color="000000" w:sz="4" w:space="0"/>
              <w:right w:val="single" w:color="000000" w:sz="4" w:space="0"/>
            </w:tcBorders>
            <w:shd w:val="clear" w:color="FFFFFF" w:fill="C0C0C0"/>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rPr>
                <w:rFonts w:hint="eastAsia" w:ascii="宋体" w:hAnsi="宋体" w:eastAsia="宋体" w:cs="宋体"/>
                <w:i w:val="0"/>
                <w:iCs w:val="0"/>
                <w:color w:val="000000"/>
                <w:sz w:val="16"/>
                <w:szCs w:val="16"/>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61</w:t>
            </w:r>
          </w:p>
        </w:tc>
        <w:tc>
          <w:tcPr>
            <w:tcW w:w="0" w:type="auto"/>
            <w:tcBorders>
              <w:top w:val="nil"/>
              <w:left w:val="nil"/>
              <w:bottom w:val="single" w:color="000000" w:sz="4" w:space="0"/>
              <w:right w:val="single" w:color="000000" w:sz="4" w:space="0"/>
            </w:tcBorders>
            <w:shd w:val="clear" w:color="FFFFFF" w:fill="C0C0C0"/>
            <w:noWrap/>
            <w:vAlign w:val="center"/>
          </w:tcPr>
          <w:p>
            <w:pP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8"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总计</w:t>
            </w:r>
          </w:p>
        </w:tc>
        <w:tc>
          <w:tcPr>
            <w:tcW w:w="0" w:type="auto"/>
            <w:tcBorders>
              <w:top w:val="nil"/>
              <w:left w:val="nil"/>
              <w:bottom w:val="single" w:color="000000" w:sz="8"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31</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0.46</w:t>
            </w:r>
          </w:p>
        </w:tc>
        <w:tc>
          <w:tcPr>
            <w:tcW w:w="0" w:type="auto"/>
            <w:tcBorders>
              <w:top w:val="nil"/>
              <w:left w:val="nil"/>
              <w:bottom w:val="single" w:color="000000" w:sz="8"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62</w:t>
            </w:r>
          </w:p>
        </w:tc>
        <w:tc>
          <w:tcPr>
            <w:tcW w:w="0" w:type="auto"/>
            <w:tcBorders>
              <w:top w:val="nil"/>
              <w:left w:val="nil"/>
              <w:bottom w:val="single" w:color="000000" w:sz="8" w:space="0"/>
              <w:right w:val="single" w:color="000000" w:sz="4" w:space="0"/>
            </w:tcBorders>
            <w:shd w:val="clear" w:color="FFFFFF" w:fill="C0C0C0"/>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4581.43</w:t>
            </w:r>
          </w:p>
        </w:tc>
      </w:tr>
    </w:tbl>
    <w:p>
      <w:pPr>
        <w:autoSpaceDE w:val="0"/>
        <w:autoSpaceDN w:val="0"/>
        <w:adjustRightInd w:val="0"/>
        <w:rPr>
          <w:rFonts w:hint="eastAsia" w:ascii="宋体" w:cs="黑体"/>
          <w:color w:val="auto"/>
          <w:szCs w:val="21"/>
        </w:rPr>
        <w:sectPr>
          <w:footerReference r:id="rId9" w:type="default"/>
          <w:pgSz w:w="11906" w:h="16838"/>
          <w:pgMar w:top="1440" w:right="1797" w:bottom="1440" w:left="1797" w:header="851" w:footer="992" w:gutter="0"/>
          <w:pgNumType w:fmt="numberInDash" w:start="1"/>
          <w:cols w:space="425" w:num="1"/>
          <w:docGrid w:type="lines" w:linePitch="312" w:charSpace="0"/>
        </w:sectPr>
      </w:pPr>
    </w:p>
    <w:p>
      <w:pPr>
        <w:autoSpaceDE w:val="0"/>
        <w:autoSpaceDN w:val="0"/>
        <w:adjustRightInd w:val="0"/>
        <w:jc w:val="center"/>
        <w:outlineLvl w:val="0"/>
        <w:rPr>
          <w:rFonts w:ascii="方正小标宋简体" w:hAnsi="宋体" w:eastAsia="方正小标宋简体" w:cs="黑体"/>
          <w:color w:val="auto"/>
          <w:sz w:val="32"/>
          <w:szCs w:val="32"/>
        </w:rPr>
      </w:pPr>
      <w:r>
        <w:rPr>
          <w:rFonts w:hint="eastAsia" w:ascii="方正小标宋简体" w:hAnsi="宋体" w:eastAsia="方正小标宋简体" w:cs="黑体"/>
          <w:color w:val="auto"/>
          <w:sz w:val="32"/>
          <w:szCs w:val="32"/>
          <w:lang w:eastAsia="zh-CN"/>
        </w:rPr>
        <w:t>202</w:t>
      </w:r>
      <w:r>
        <w:rPr>
          <w:rFonts w:hint="eastAsia" w:ascii="方正小标宋简体" w:hAnsi="宋体" w:eastAsia="方正小标宋简体" w:cs="黑体"/>
          <w:color w:val="auto"/>
          <w:sz w:val="32"/>
          <w:szCs w:val="32"/>
          <w:lang w:val="en-US" w:eastAsia="zh-CN"/>
        </w:rPr>
        <w:t>2</w:t>
      </w:r>
      <w:r>
        <w:rPr>
          <w:rFonts w:hint="eastAsia" w:ascii="方正小标宋简体" w:hAnsi="宋体" w:eastAsia="方正小标宋简体" w:cs="黑体"/>
          <w:color w:val="auto"/>
          <w:sz w:val="32"/>
          <w:szCs w:val="32"/>
        </w:rPr>
        <w:t>年度收入决算表</w:t>
      </w:r>
    </w:p>
    <w:p>
      <w:pPr>
        <w:autoSpaceDE w:val="0"/>
        <w:autoSpaceDN w:val="0"/>
        <w:adjustRightInd w:val="0"/>
        <w:ind w:right="360"/>
        <w:jc w:val="left"/>
        <w:rPr>
          <w:rFonts w:ascii="黑体" w:hAnsi="黑体" w:eastAsia="黑体" w:cs="黑体"/>
          <w:color w:val="auto"/>
          <w:szCs w:val="21"/>
        </w:rPr>
      </w:pPr>
      <w:r>
        <w:rPr>
          <w:rFonts w:hint="eastAsia" w:ascii="黑体" w:hAnsi="黑体" w:eastAsia="黑体" w:cs="黑体"/>
          <w:color w:val="auto"/>
          <w:szCs w:val="21"/>
        </w:rPr>
        <w:t>公开</w:t>
      </w:r>
      <w:r>
        <w:rPr>
          <w:rFonts w:ascii="黑体" w:hAnsi="黑体" w:eastAsia="黑体" w:cs="黑体"/>
          <w:color w:val="auto"/>
          <w:szCs w:val="21"/>
        </w:rPr>
        <w:t>02</w:t>
      </w:r>
      <w:r>
        <w:rPr>
          <w:rFonts w:hint="eastAsia" w:ascii="黑体" w:hAnsi="黑体" w:eastAsia="黑体" w:cs="黑体"/>
          <w:color w:val="auto"/>
          <w:szCs w:val="21"/>
        </w:rPr>
        <w:t>表</w:t>
      </w:r>
      <w:r>
        <w:rPr>
          <w:rFonts w:ascii="黑体" w:hAnsi="黑体" w:eastAsia="黑体" w:cs="黑体"/>
          <w:color w:val="auto"/>
          <w:szCs w:val="21"/>
        </w:rPr>
        <w:t xml:space="preserve">  </w:t>
      </w:r>
      <w:r>
        <w:rPr>
          <w:rFonts w:hint="eastAsia" w:ascii="黑体" w:hAnsi="黑体" w:eastAsia="黑体" w:cs="黑体"/>
          <w:color w:val="auto"/>
          <w:szCs w:val="21"/>
          <w:lang w:val="en-US" w:eastAsia="zh-CN"/>
        </w:rPr>
        <w:t xml:space="preserve">                                                                                           </w:t>
      </w:r>
      <w:r>
        <w:rPr>
          <w:rFonts w:hint="eastAsia" w:ascii="黑体" w:hAnsi="黑体" w:eastAsia="黑体" w:cs="黑体"/>
          <w:color w:val="auto"/>
          <w:szCs w:val="21"/>
        </w:rPr>
        <w:t>单位：元</w:t>
      </w:r>
      <w:r>
        <w:rPr>
          <w:rFonts w:ascii="黑体" w:hAnsi="黑体" w:eastAsia="黑体" w:cs="黑体"/>
          <w:color w:val="auto"/>
          <w:szCs w:val="21"/>
        </w:rPr>
        <w:t xml:space="preserve">    </w:t>
      </w:r>
    </w:p>
    <w:tbl>
      <w:tblPr>
        <w:tblStyle w:val="9"/>
        <w:tblW w:w="121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6"/>
        <w:gridCol w:w="396"/>
        <w:gridCol w:w="396"/>
        <w:gridCol w:w="3636"/>
        <w:gridCol w:w="1399"/>
        <w:gridCol w:w="1465"/>
        <w:gridCol w:w="745"/>
        <w:gridCol w:w="769"/>
        <w:gridCol w:w="761"/>
        <w:gridCol w:w="720"/>
        <w:gridCol w:w="745"/>
        <w:gridCol w:w="7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900"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141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153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财政拨款收入</w:t>
            </w:r>
          </w:p>
        </w:tc>
        <w:tc>
          <w:tcPr>
            <w:tcW w:w="88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上级补助收入</w:t>
            </w:r>
          </w:p>
        </w:tc>
        <w:tc>
          <w:tcPr>
            <w:tcW w:w="1845" w:type="dxa"/>
            <w:gridSpan w:val="2"/>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事业收入</w:t>
            </w:r>
          </w:p>
        </w:tc>
        <w:tc>
          <w:tcPr>
            <w:tcW w:w="84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经营收入</w:t>
            </w:r>
          </w:p>
        </w:tc>
        <w:tc>
          <w:tcPr>
            <w:tcW w:w="88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附属单位上缴收入</w:t>
            </w:r>
          </w:p>
        </w:tc>
        <w:tc>
          <w:tcPr>
            <w:tcW w:w="870" w:type="dxa"/>
            <w:vMerge w:val="restart"/>
            <w:tcBorders>
              <w:top w:val="single" w:color="000000" w:sz="4" w:space="0"/>
              <w:left w:val="nil"/>
              <w:bottom w:val="single" w:color="000000" w:sz="4" w:space="0"/>
              <w:right w:val="single" w:color="000000" w:sz="8"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支出功能分类科目代码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93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91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其中：教育收费</w:t>
            </w:r>
          </w:p>
        </w:tc>
        <w:tc>
          <w:tcPr>
            <w:tcW w:w="8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nil"/>
              <w:bottom w:val="single" w:color="000000" w:sz="4" w:space="0"/>
              <w:right w:val="single" w:color="000000" w:sz="8"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93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91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nil"/>
              <w:bottom w:val="single" w:color="000000" w:sz="4" w:space="0"/>
              <w:right w:val="single" w:color="000000" w:sz="8"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93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91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8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870" w:type="dxa"/>
            <w:vMerge w:val="continue"/>
            <w:tcBorders>
              <w:top w:val="single" w:color="000000" w:sz="4" w:space="0"/>
              <w:left w:val="nil"/>
              <w:bottom w:val="single" w:color="000000" w:sz="4" w:space="0"/>
              <w:right w:val="single" w:color="000000" w:sz="8"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vMerge w:val="restar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类</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款</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5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8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4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8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70" w:type="dxa"/>
            <w:tcBorders>
              <w:top w:val="nil"/>
              <w:left w:val="nil"/>
              <w:bottom w:val="single" w:color="000000" w:sz="4" w:space="0"/>
              <w:right w:val="single" w:color="000000" w:sz="8"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0" w:type="auto"/>
            <w:vMerge w:val="continue"/>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7,625,898.56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7,625,898.56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7,225,898.56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7,225,898.56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1,543,983.03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1,543,983.03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其他组织事务支出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2013602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学前教育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初中教育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群众文化</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2,843,200.44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2,843,200.44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2,594,696.44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2,594,696.44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行政单位离退休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事业单位离退休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524,112.00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524,112.00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271,584.44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271,584.44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对机关事业单位基本养老保险基金的补助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1,758,200.00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1,758,200.00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248,504.00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248,504.00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义务兵优待</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1,241,955.00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1,241,955.00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突发公共卫生事件应急处理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计划生育事务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2100717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计划生育服务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188,664.96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188,664.96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73,391.04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73,391.04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229,299.00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229,299.00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1,507,092.21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1,507,092.21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4,394,731.62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4,394,731.62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1,562,018.21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1,562,018.21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2130122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农业生产发展</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184,924.00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184,924.00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森林资源培育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其他林业和草原支出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59,124.00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59,124.00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其他水利支出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2140106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公路养护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支持中小企业发展和管理支出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其他支持中小企业发展和管理支出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523,075.68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523,075.68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2210203</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购房补贴</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418,505.01</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418,505.01</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pPr>
        <w:autoSpaceDE w:val="0"/>
        <w:autoSpaceDN w:val="0"/>
        <w:adjustRightInd w:val="0"/>
        <w:ind w:firstLine="5760" w:firstLineChars="1800"/>
        <w:jc w:val="both"/>
        <w:rPr>
          <w:rFonts w:hint="eastAsia" w:ascii="方正小标宋简体" w:hAnsi="宋体" w:eastAsia="方正小标宋简体" w:cs="黑体"/>
          <w:color w:val="auto"/>
          <w:sz w:val="32"/>
          <w:szCs w:val="32"/>
          <w:lang w:eastAsia="zh-CN"/>
        </w:rPr>
      </w:pPr>
    </w:p>
    <w:p>
      <w:pPr>
        <w:autoSpaceDE w:val="0"/>
        <w:autoSpaceDN w:val="0"/>
        <w:adjustRightInd w:val="0"/>
        <w:ind w:firstLine="5760" w:firstLineChars="1800"/>
        <w:jc w:val="both"/>
        <w:rPr>
          <w:rFonts w:hint="eastAsia" w:ascii="方正小标宋简体" w:hAnsi="宋体" w:eastAsia="方正小标宋简体" w:cs="黑体"/>
          <w:color w:val="auto"/>
          <w:sz w:val="32"/>
          <w:szCs w:val="32"/>
          <w:lang w:eastAsia="zh-CN"/>
        </w:rPr>
      </w:pPr>
    </w:p>
    <w:p>
      <w:pPr>
        <w:autoSpaceDE w:val="0"/>
        <w:autoSpaceDN w:val="0"/>
        <w:adjustRightInd w:val="0"/>
        <w:ind w:firstLine="5760" w:firstLineChars="1800"/>
        <w:jc w:val="both"/>
        <w:rPr>
          <w:rFonts w:hint="eastAsia" w:ascii="方正小标宋简体" w:hAnsi="宋体" w:eastAsia="方正小标宋简体" w:cs="黑体"/>
          <w:color w:val="auto"/>
          <w:sz w:val="32"/>
          <w:szCs w:val="32"/>
          <w:lang w:eastAsia="zh-CN"/>
        </w:rPr>
      </w:pPr>
    </w:p>
    <w:p>
      <w:pPr>
        <w:autoSpaceDE w:val="0"/>
        <w:autoSpaceDN w:val="0"/>
        <w:adjustRightInd w:val="0"/>
        <w:ind w:firstLine="5760" w:firstLineChars="1800"/>
        <w:jc w:val="both"/>
        <w:rPr>
          <w:rFonts w:ascii="方正小标宋简体" w:hAnsi="宋体" w:eastAsia="方正小标宋简体" w:cs="黑体"/>
          <w:color w:val="auto"/>
          <w:sz w:val="32"/>
          <w:szCs w:val="32"/>
        </w:rPr>
      </w:pPr>
      <w:r>
        <w:rPr>
          <w:rFonts w:hint="eastAsia" w:ascii="方正小标宋简体" w:hAnsi="宋体" w:eastAsia="方正小标宋简体" w:cs="黑体"/>
          <w:color w:val="auto"/>
          <w:sz w:val="32"/>
          <w:szCs w:val="32"/>
          <w:lang w:eastAsia="zh-CN"/>
        </w:rPr>
        <w:t>202</w:t>
      </w:r>
      <w:r>
        <w:rPr>
          <w:rFonts w:hint="eastAsia" w:ascii="方正小标宋简体" w:hAnsi="宋体" w:eastAsia="方正小标宋简体" w:cs="黑体"/>
          <w:color w:val="auto"/>
          <w:sz w:val="32"/>
          <w:szCs w:val="32"/>
          <w:lang w:val="en-US" w:eastAsia="zh-CN"/>
        </w:rPr>
        <w:t>2</w:t>
      </w:r>
      <w:r>
        <w:rPr>
          <w:rFonts w:hint="eastAsia" w:ascii="方正小标宋简体" w:hAnsi="宋体" w:eastAsia="方正小标宋简体" w:cs="黑体"/>
          <w:color w:val="auto"/>
          <w:sz w:val="32"/>
          <w:szCs w:val="32"/>
        </w:rPr>
        <w:t>年度支出决算表</w:t>
      </w:r>
    </w:p>
    <w:p>
      <w:pPr>
        <w:autoSpaceDE w:val="0"/>
        <w:autoSpaceDN w:val="0"/>
        <w:adjustRightInd w:val="0"/>
        <w:ind w:right="360"/>
        <w:jc w:val="left"/>
        <w:rPr>
          <w:rFonts w:hint="eastAsia" w:ascii="黑体" w:hAnsi="黑体" w:eastAsia="黑体" w:cs="黑体"/>
          <w:color w:val="auto"/>
          <w:szCs w:val="21"/>
        </w:rPr>
      </w:pPr>
      <w:r>
        <w:rPr>
          <w:rFonts w:hint="eastAsia" w:ascii="黑体" w:hAnsi="黑体" w:eastAsia="黑体" w:cs="黑体"/>
          <w:color w:val="auto"/>
          <w:szCs w:val="21"/>
        </w:rPr>
        <w:t>公开</w:t>
      </w:r>
      <w:r>
        <w:rPr>
          <w:rFonts w:ascii="黑体" w:hAnsi="黑体" w:eastAsia="黑体" w:cs="黑体"/>
          <w:color w:val="auto"/>
          <w:szCs w:val="21"/>
        </w:rPr>
        <w:t>03</w:t>
      </w:r>
      <w:r>
        <w:rPr>
          <w:rFonts w:hint="eastAsia" w:ascii="黑体" w:hAnsi="黑体" w:eastAsia="黑体" w:cs="黑体"/>
          <w:color w:val="auto"/>
          <w:szCs w:val="21"/>
        </w:rPr>
        <w:t>表</w:t>
      </w:r>
      <w:r>
        <w:rPr>
          <w:rFonts w:ascii="黑体" w:hAnsi="黑体" w:eastAsia="黑体" w:cs="黑体"/>
          <w:color w:val="auto"/>
          <w:szCs w:val="21"/>
        </w:rPr>
        <w:t xml:space="preserve">                                                                                                 </w:t>
      </w:r>
      <w:r>
        <w:rPr>
          <w:rFonts w:hint="eastAsia" w:ascii="黑体" w:hAnsi="黑体" w:eastAsia="黑体" w:cs="黑体"/>
          <w:color w:val="auto"/>
          <w:szCs w:val="21"/>
        </w:rPr>
        <w:t>单位：元</w:t>
      </w:r>
    </w:p>
    <w:p>
      <w:pPr>
        <w:autoSpaceDE w:val="0"/>
        <w:autoSpaceDN w:val="0"/>
        <w:adjustRightInd w:val="0"/>
        <w:ind w:right="360"/>
        <w:jc w:val="left"/>
        <w:rPr>
          <w:rFonts w:hint="eastAsia" w:ascii="黑体" w:hAnsi="黑体" w:eastAsia="黑体" w:cs="黑体"/>
          <w:color w:val="auto"/>
          <w:szCs w:val="21"/>
        </w:rPr>
      </w:pPr>
    </w:p>
    <w:tbl>
      <w:tblPr>
        <w:tblStyle w:val="9"/>
        <w:tblW w:w="118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6"/>
        <w:gridCol w:w="396"/>
        <w:gridCol w:w="396"/>
        <w:gridCol w:w="3636"/>
        <w:gridCol w:w="1468"/>
        <w:gridCol w:w="1344"/>
        <w:gridCol w:w="1459"/>
        <w:gridCol w:w="870"/>
        <w:gridCol w:w="896"/>
        <w:gridCol w:w="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85"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153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138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151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109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上缴上级支出</w:t>
            </w:r>
          </w:p>
        </w:tc>
        <w:tc>
          <w:tcPr>
            <w:tcW w:w="114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经营支出</w:t>
            </w:r>
          </w:p>
        </w:tc>
        <w:tc>
          <w:tcPr>
            <w:tcW w:w="1305" w:type="dxa"/>
            <w:vMerge w:val="restart"/>
            <w:tcBorders>
              <w:top w:val="single" w:color="000000" w:sz="4" w:space="0"/>
              <w:left w:val="nil"/>
              <w:bottom w:val="single" w:color="000000" w:sz="4" w:space="0"/>
              <w:right w:val="single" w:color="000000" w:sz="8"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支出功能分类科目代码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53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5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09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05" w:type="dxa"/>
            <w:vMerge w:val="continue"/>
            <w:tcBorders>
              <w:top w:val="single" w:color="000000" w:sz="4" w:space="0"/>
              <w:left w:val="nil"/>
              <w:bottom w:val="single" w:color="000000" w:sz="4" w:space="0"/>
              <w:right w:val="single" w:color="000000" w:sz="8"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5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09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05" w:type="dxa"/>
            <w:vMerge w:val="continue"/>
            <w:tcBorders>
              <w:top w:val="single" w:color="000000" w:sz="4" w:space="0"/>
              <w:left w:val="nil"/>
              <w:bottom w:val="single" w:color="000000" w:sz="4" w:space="0"/>
              <w:right w:val="single" w:color="000000" w:sz="8"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153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5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09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05" w:type="dxa"/>
            <w:vMerge w:val="continue"/>
            <w:tcBorders>
              <w:top w:val="single" w:color="000000" w:sz="4" w:space="0"/>
              <w:left w:val="nil"/>
              <w:bottom w:val="single" w:color="000000" w:sz="4" w:space="0"/>
              <w:right w:val="single" w:color="000000" w:sz="8"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vMerge w:val="restar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类</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款</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5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8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09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4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05" w:type="dxa"/>
            <w:tcBorders>
              <w:top w:val="nil"/>
              <w:left w:val="nil"/>
              <w:bottom w:val="single" w:color="000000" w:sz="4" w:space="0"/>
              <w:right w:val="single" w:color="000000" w:sz="8"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vMerge w:val="continue"/>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9,130,665.87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36,683,638.13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7,625,898.56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1,943,983.03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7,225,898.56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1,543,983.03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1,543,983.03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1,543,983.03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其他组织事务支出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2013602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学前教育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初中教育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文化和旅游</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群众文化</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2,843,200.44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836,496.44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2,006,704.00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2,594,696.44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836,496.44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1,758,200.00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行政单位离退休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事业单位离退休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524,112.00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524,112.00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271,584.44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271,584.44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对机关事业单位基本养老保险基金的补助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1,758,200.00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1,758,200.00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248,504.00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248,504.00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义务兵优待</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63,504.00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其他优抚支出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1,241,955.00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公共卫生</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突发公共卫生事件应急处理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计划生育事务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2100717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计划生育服务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188,664.96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188,664.96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73,391.04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73,391.04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229,299.00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229,299.00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1,507,092.21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1,507,092.21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4,394,731.62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3,215,413.41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农业农村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1,562,018.21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382,700.00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2130122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农业生产发展</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农村社会事业</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其他农业农村支出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林业和草原</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184,924.00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184,924.00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森林资源培育</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125,800.00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其他林业和草原支出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59,124.00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59,124.00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其他水利支出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农村综合改革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对村民委员会和村党支部的补助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2140106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公路养护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支持中小企业发展和管理支出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其他支持中小企业发展和管理支出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523,075.68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523,075.68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2210203</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购房补贴</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418,505.01</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418,505.01</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pPr>
        <w:autoSpaceDE w:val="0"/>
        <w:autoSpaceDN w:val="0"/>
        <w:adjustRightInd w:val="0"/>
        <w:jc w:val="center"/>
        <w:outlineLvl w:val="0"/>
        <w:rPr>
          <w:rFonts w:hint="eastAsia" w:ascii="方正小标宋简体" w:hAnsi="宋体" w:eastAsia="方正小标宋简体" w:cs="黑体"/>
          <w:color w:val="auto"/>
          <w:sz w:val="32"/>
          <w:szCs w:val="32"/>
          <w:lang w:eastAsia="zh-CN"/>
        </w:rPr>
      </w:pPr>
    </w:p>
    <w:p>
      <w:pPr>
        <w:autoSpaceDE w:val="0"/>
        <w:autoSpaceDN w:val="0"/>
        <w:adjustRightInd w:val="0"/>
        <w:jc w:val="center"/>
        <w:outlineLvl w:val="0"/>
        <w:rPr>
          <w:rFonts w:ascii="方正小标宋简体" w:hAnsi="宋体" w:eastAsia="方正小标宋简体" w:cs="黑体"/>
          <w:color w:val="auto"/>
          <w:sz w:val="32"/>
          <w:szCs w:val="32"/>
        </w:rPr>
      </w:pPr>
      <w:r>
        <w:rPr>
          <w:rFonts w:hint="eastAsia" w:ascii="方正小标宋简体" w:hAnsi="宋体" w:eastAsia="方正小标宋简体" w:cs="黑体"/>
          <w:color w:val="auto"/>
          <w:sz w:val="32"/>
          <w:szCs w:val="32"/>
          <w:lang w:eastAsia="zh-CN"/>
        </w:rPr>
        <w:t>202</w:t>
      </w:r>
      <w:r>
        <w:rPr>
          <w:rFonts w:hint="eastAsia" w:ascii="方正小标宋简体" w:hAnsi="宋体" w:eastAsia="方正小标宋简体" w:cs="黑体"/>
          <w:color w:val="auto"/>
          <w:sz w:val="32"/>
          <w:szCs w:val="32"/>
          <w:lang w:val="en-US" w:eastAsia="zh-CN"/>
        </w:rPr>
        <w:t>2</w:t>
      </w:r>
      <w:r>
        <w:rPr>
          <w:rFonts w:hint="eastAsia" w:ascii="方正小标宋简体" w:hAnsi="宋体" w:eastAsia="方正小标宋简体" w:cs="黑体"/>
          <w:color w:val="auto"/>
          <w:sz w:val="32"/>
          <w:szCs w:val="32"/>
        </w:rPr>
        <w:t>年度财政拨款收入支出决算总表</w:t>
      </w:r>
    </w:p>
    <w:p>
      <w:pPr>
        <w:autoSpaceDE w:val="0"/>
        <w:autoSpaceDN w:val="0"/>
        <w:adjustRightInd w:val="0"/>
        <w:ind w:right="360"/>
        <w:jc w:val="left"/>
        <w:rPr>
          <w:rFonts w:hint="eastAsia" w:ascii="黑体" w:hAnsi="黑体" w:eastAsia="黑体" w:cs="黑体"/>
          <w:color w:val="auto"/>
          <w:szCs w:val="21"/>
        </w:rPr>
      </w:pPr>
      <w:r>
        <w:rPr>
          <w:rFonts w:hint="eastAsia" w:ascii="黑体" w:hAnsi="黑体" w:eastAsia="黑体" w:cs="黑体"/>
          <w:color w:val="auto"/>
          <w:szCs w:val="21"/>
        </w:rPr>
        <w:t>公开</w:t>
      </w:r>
      <w:r>
        <w:rPr>
          <w:rFonts w:ascii="黑体" w:hAnsi="黑体" w:eastAsia="黑体" w:cs="黑体"/>
          <w:color w:val="auto"/>
          <w:szCs w:val="21"/>
        </w:rPr>
        <w:t>04</w:t>
      </w:r>
      <w:r>
        <w:rPr>
          <w:rFonts w:hint="eastAsia" w:ascii="黑体" w:hAnsi="黑体" w:eastAsia="黑体" w:cs="黑体"/>
          <w:color w:val="auto"/>
          <w:szCs w:val="21"/>
        </w:rPr>
        <w:t>表</w:t>
      </w:r>
      <w:r>
        <w:rPr>
          <w:rFonts w:ascii="黑体" w:hAnsi="黑体" w:eastAsia="黑体" w:cs="黑体"/>
          <w:color w:val="auto"/>
          <w:szCs w:val="21"/>
        </w:rPr>
        <w:t xml:space="preserve">                                                                                                           </w:t>
      </w:r>
      <w:r>
        <w:rPr>
          <w:rFonts w:hint="eastAsia" w:ascii="黑体" w:hAnsi="黑体" w:eastAsia="黑体" w:cs="黑体"/>
          <w:color w:val="auto"/>
          <w:szCs w:val="21"/>
        </w:rPr>
        <w:t>单位：</w:t>
      </w:r>
      <w:r>
        <w:rPr>
          <w:rFonts w:hint="eastAsia" w:ascii="黑体" w:hAnsi="黑体" w:eastAsia="黑体" w:cs="黑体"/>
          <w:color w:val="auto"/>
          <w:szCs w:val="21"/>
          <w:lang w:val="en-US" w:eastAsia="zh-CN"/>
        </w:rPr>
        <w:t>万</w:t>
      </w:r>
      <w:r>
        <w:rPr>
          <w:rFonts w:hint="eastAsia" w:ascii="黑体" w:hAnsi="黑体" w:eastAsia="黑体" w:cs="黑体"/>
          <w:color w:val="auto"/>
          <w:szCs w:val="21"/>
        </w:rPr>
        <w:t>元</w:t>
      </w:r>
    </w:p>
    <w:p>
      <w:pPr>
        <w:autoSpaceDE w:val="0"/>
        <w:autoSpaceDN w:val="0"/>
        <w:adjustRightInd w:val="0"/>
        <w:ind w:right="360"/>
        <w:jc w:val="left"/>
        <w:rPr>
          <w:rFonts w:hint="eastAsia" w:ascii="黑体" w:hAnsi="黑体" w:eastAsia="黑体" w:cs="黑体"/>
          <w:color w:val="auto"/>
          <w:szCs w:val="21"/>
        </w:rPr>
      </w:pPr>
    </w:p>
    <w:tbl>
      <w:tblPr>
        <w:tblStyle w:val="9"/>
        <w:tblW w:w="133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30"/>
        <w:gridCol w:w="570"/>
        <w:gridCol w:w="1185"/>
        <w:gridCol w:w="3441"/>
        <w:gridCol w:w="570"/>
        <w:gridCol w:w="1105"/>
        <w:gridCol w:w="1278"/>
        <w:gridCol w:w="1057"/>
        <w:gridCol w:w="11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785"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     入</w:t>
            </w:r>
          </w:p>
        </w:tc>
        <w:tc>
          <w:tcPr>
            <w:tcW w:w="8580" w:type="dxa"/>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030"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w:t>
            </w:r>
          </w:p>
        </w:tc>
        <w:tc>
          <w:tcPr>
            <w:tcW w:w="5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118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285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项目（按功能分类）</w:t>
            </w:r>
          </w:p>
        </w:tc>
        <w:tc>
          <w:tcPr>
            <w:tcW w:w="5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行次</w:t>
            </w:r>
          </w:p>
        </w:tc>
        <w:tc>
          <w:tcPr>
            <w:tcW w:w="0" w:type="auto"/>
            <w:gridSpan w:val="4"/>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030"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18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285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23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一般公共预算财政拨款</w:t>
            </w:r>
          </w:p>
        </w:tc>
        <w:tc>
          <w:tcPr>
            <w:tcW w:w="12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政府性基金预算财政拨款</w:t>
            </w:r>
          </w:p>
        </w:tc>
        <w:tc>
          <w:tcPr>
            <w:tcW w:w="1335" w:type="dxa"/>
            <w:tcBorders>
              <w:top w:val="nil"/>
              <w:left w:val="nil"/>
              <w:bottom w:val="single" w:color="000000" w:sz="4" w:space="0"/>
              <w:right w:val="single" w:color="000000" w:sz="8"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    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    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nil"/>
              <w:left w:val="nil"/>
              <w:bottom w:val="single" w:color="000000" w:sz="4" w:space="0"/>
              <w:right w:val="single" w:color="000000" w:sz="8"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124.20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124.20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439.47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439.47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8"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8"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c>
          <w:tcPr>
            <w:tcW w:w="0" w:type="auto"/>
            <w:tcBorders>
              <w:top w:val="nil"/>
              <w:left w:val="nil"/>
              <w:bottom w:val="single" w:color="000000" w:sz="4" w:space="0"/>
              <w:right w:val="single" w:color="000000" w:sz="8" w:space="0"/>
            </w:tcBorders>
            <w:shd w:val="clear" w:color="auto" w:fill="auto"/>
            <w:noWrap/>
            <w:vAlign w:val="center"/>
          </w:tcPr>
          <w:p>
            <w:pPr>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8"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0" w:type="auto"/>
            <w:tcBorders>
              <w:top w:val="nil"/>
              <w:left w:val="nil"/>
              <w:bottom w:val="single" w:color="000000" w:sz="8"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w:t>
            </w:r>
          </w:p>
        </w:tc>
        <w:tc>
          <w:tcPr>
            <w:tcW w:w="0" w:type="auto"/>
            <w:tcBorders>
              <w:top w:val="nil"/>
              <w:left w:val="nil"/>
              <w:bottom w:val="single" w:color="000000" w:sz="8"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总计</w:t>
            </w:r>
          </w:p>
        </w:tc>
        <w:tc>
          <w:tcPr>
            <w:tcW w:w="0" w:type="auto"/>
            <w:tcBorders>
              <w:top w:val="nil"/>
              <w:left w:val="nil"/>
              <w:bottom w:val="single" w:color="000000" w:sz="8"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w:t>
            </w:r>
          </w:p>
        </w:tc>
        <w:tc>
          <w:tcPr>
            <w:tcW w:w="0" w:type="auto"/>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pPr>
        <w:autoSpaceDE w:val="0"/>
        <w:autoSpaceDN w:val="0"/>
        <w:adjustRightInd w:val="0"/>
        <w:ind w:right="360"/>
        <w:jc w:val="left"/>
        <w:rPr>
          <w:rFonts w:hint="eastAsia" w:ascii="黑体" w:hAnsi="黑体" w:eastAsia="黑体" w:cs="黑体"/>
          <w:color w:val="auto"/>
          <w:szCs w:val="21"/>
        </w:rPr>
      </w:pPr>
    </w:p>
    <w:p>
      <w:pPr>
        <w:autoSpaceDE w:val="0"/>
        <w:autoSpaceDN w:val="0"/>
        <w:adjustRightInd w:val="0"/>
        <w:jc w:val="center"/>
        <w:rPr>
          <w:rFonts w:hint="eastAsia" w:ascii="宋体" w:cs="黑体"/>
          <w:color w:val="auto"/>
          <w:szCs w:val="21"/>
        </w:rPr>
        <w:sectPr>
          <w:pgSz w:w="16838" w:h="11906" w:orient="landscape"/>
          <w:pgMar w:top="1797" w:right="1440" w:bottom="1797" w:left="1440" w:header="851" w:footer="992" w:gutter="0"/>
          <w:pgNumType w:fmt="numberInDash"/>
          <w:cols w:space="425" w:num="1"/>
          <w:docGrid w:linePitch="312" w:charSpace="0"/>
        </w:sectPr>
      </w:pPr>
    </w:p>
    <w:p>
      <w:pPr>
        <w:autoSpaceDE w:val="0"/>
        <w:autoSpaceDN w:val="0"/>
        <w:adjustRightInd w:val="0"/>
        <w:jc w:val="center"/>
        <w:outlineLvl w:val="0"/>
        <w:rPr>
          <w:rFonts w:hint="eastAsia" w:ascii="方正小标宋简体" w:hAnsi="宋体" w:eastAsia="方正小标宋简体" w:cs="黑体"/>
          <w:color w:val="auto"/>
          <w:sz w:val="32"/>
          <w:szCs w:val="32"/>
        </w:rPr>
      </w:pPr>
      <w:r>
        <w:rPr>
          <w:rFonts w:hint="eastAsia" w:ascii="方正小标宋简体" w:hAnsi="宋体" w:eastAsia="方正小标宋简体" w:cs="黑体"/>
          <w:color w:val="auto"/>
          <w:sz w:val="32"/>
          <w:szCs w:val="32"/>
          <w:lang w:eastAsia="zh-CN"/>
        </w:rPr>
        <w:t>202</w:t>
      </w:r>
      <w:r>
        <w:rPr>
          <w:rFonts w:hint="eastAsia" w:ascii="方正小标宋简体" w:hAnsi="宋体" w:eastAsia="方正小标宋简体" w:cs="黑体"/>
          <w:color w:val="auto"/>
          <w:sz w:val="32"/>
          <w:szCs w:val="32"/>
          <w:lang w:val="en-US" w:eastAsia="zh-CN"/>
        </w:rPr>
        <w:t>2</w:t>
      </w:r>
      <w:r>
        <w:rPr>
          <w:rFonts w:hint="eastAsia" w:ascii="方正小标宋简体" w:hAnsi="宋体" w:eastAsia="方正小标宋简体" w:cs="黑体"/>
          <w:color w:val="auto"/>
          <w:sz w:val="32"/>
          <w:szCs w:val="32"/>
        </w:rPr>
        <w:t>年度一般公共预算财政拨款</w:t>
      </w:r>
      <w:r>
        <w:rPr>
          <w:rFonts w:hint="eastAsia" w:ascii="方正小标宋简体" w:hAnsi="宋体" w:eastAsia="方正小标宋简体" w:cs="黑体"/>
          <w:color w:val="auto"/>
          <w:sz w:val="32"/>
          <w:szCs w:val="32"/>
          <w:lang w:val="en-US" w:eastAsia="zh-CN"/>
        </w:rPr>
        <w:t>收入</w:t>
      </w:r>
      <w:r>
        <w:rPr>
          <w:rFonts w:hint="eastAsia" w:ascii="方正小标宋简体" w:hAnsi="宋体" w:eastAsia="方正小标宋简体" w:cs="黑体"/>
          <w:color w:val="auto"/>
          <w:sz w:val="32"/>
          <w:szCs w:val="32"/>
        </w:rPr>
        <w:t>支出决算表</w:t>
      </w:r>
    </w:p>
    <w:p>
      <w:pPr>
        <w:autoSpaceDE w:val="0"/>
        <w:autoSpaceDN w:val="0"/>
        <w:adjustRightInd w:val="0"/>
        <w:ind w:right="360"/>
        <w:jc w:val="left"/>
        <w:rPr>
          <w:rFonts w:hint="eastAsia" w:ascii="方正小标宋简体" w:hAnsi="宋体" w:eastAsia="方正小标宋简体" w:cs="黑体"/>
          <w:color w:val="auto"/>
          <w:sz w:val="32"/>
          <w:szCs w:val="32"/>
        </w:rPr>
      </w:pPr>
      <w:r>
        <w:rPr>
          <w:rFonts w:hint="eastAsia" w:ascii="黑体" w:hAnsi="黑体" w:eastAsia="黑体" w:cs="黑体"/>
          <w:color w:val="auto"/>
          <w:szCs w:val="21"/>
        </w:rPr>
        <w:t>公开</w:t>
      </w:r>
      <w:r>
        <w:rPr>
          <w:rFonts w:ascii="黑体" w:hAnsi="黑体" w:eastAsia="黑体" w:cs="黑体"/>
          <w:color w:val="auto"/>
          <w:szCs w:val="21"/>
        </w:rPr>
        <w:t>05</w:t>
      </w:r>
      <w:r>
        <w:rPr>
          <w:rFonts w:hint="eastAsia" w:ascii="黑体" w:hAnsi="黑体" w:eastAsia="黑体" w:cs="黑体"/>
          <w:color w:val="auto"/>
          <w:szCs w:val="21"/>
        </w:rPr>
        <w:t>表</w:t>
      </w:r>
      <w:r>
        <w:rPr>
          <w:rFonts w:ascii="黑体" w:hAnsi="黑体" w:eastAsia="黑体" w:cs="黑体"/>
          <w:color w:val="auto"/>
          <w:szCs w:val="21"/>
        </w:rPr>
        <w:t xml:space="preserve">                                                                                                          </w:t>
      </w:r>
      <w:r>
        <w:rPr>
          <w:rFonts w:hint="eastAsia" w:ascii="黑体" w:hAnsi="黑体" w:eastAsia="黑体" w:cs="黑体"/>
          <w:color w:val="auto"/>
          <w:szCs w:val="21"/>
        </w:rPr>
        <w:t>单位：元</w:t>
      </w:r>
    </w:p>
    <w:tbl>
      <w:tblPr>
        <w:tblStyle w:val="9"/>
        <w:tblpPr w:leftFromText="180" w:rightFromText="180" w:vertAnchor="text" w:horzAnchor="page" w:tblpX="801" w:tblpY="387"/>
        <w:tblOverlap w:val="never"/>
        <w:tblW w:w="1555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96"/>
        <w:gridCol w:w="396"/>
        <w:gridCol w:w="396"/>
        <w:gridCol w:w="3636"/>
        <w:gridCol w:w="1386"/>
        <w:gridCol w:w="1296"/>
        <w:gridCol w:w="1386"/>
        <w:gridCol w:w="1386"/>
        <w:gridCol w:w="1296"/>
        <w:gridCol w:w="1296"/>
        <w:gridCol w:w="1296"/>
        <w:gridCol w:w="13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824" w:type="dxa"/>
            <w:gridSpan w:val="4"/>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w:t>
            </w:r>
          </w:p>
        </w:tc>
        <w:tc>
          <w:tcPr>
            <w:tcW w:w="4068"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w:t>
            </w:r>
          </w:p>
        </w:tc>
        <w:tc>
          <w:tcPr>
            <w:tcW w:w="6660" w:type="dxa"/>
            <w:gridSpan w:val="5"/>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支出功能分类科目代码</w:t>
            </w:r>
          </w:p>
        </w:tc>
        <w:tc>
          <w:tcPr>
            <w:tcW w:w="363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38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29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138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c>
          <w:tcPr>
            <w:tcW w:w="138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3888"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基本支出</w:t>
            </w:r>
          </w:p>
        </w:tc>
        <w:tc>
          <w:tcPr>
            <w:tcW w:w="138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118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363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8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8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8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29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小计</w:t>
            </w:r>
          </w:p>
        </w:tc>
        <w:tc>
          <w:tcPr>
            <w:tcW w:w="129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129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c>
          <w:tcPr>
            <w:tcW w:w="138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18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363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8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8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8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29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138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96"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类</w:t>
            </w:r>
          </w:p>
        </w:tc>
        <w:tc>
          <w:tcPr>
            <w:tcW w:w="39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款</w:t>
            </w:r>
          </w:p>
        </w:tc>
        <w:tc>
          <w:tcPr>
            <w:tcW w:w="39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363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栏次</w:t>
            </w:r>
          </w:p>
        </w:tc>
        <w:tc>
          <w:tcPr>
            <w:tcW w:w="138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9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38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38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9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9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9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386"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96"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39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8"/>
                <w:szCs w:val="18"/>
                <w:u w:val="none"/>
              </w:rPr>
            </w:pPr>
          </w:p>
        </w:tc>
        <w:tc>
          <w:tcPr>
            <w:tcW w:w="3636"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45,814,304.00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9,130,665.87</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36,683,638.13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45,814,304.00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9,130,665.87</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7,385,814.34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1,744,851.53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36,683,638.13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7,625,898.56</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1,943,983.03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7,625,898.56</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3,952,064.00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1,729,851.53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1,943,983.03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政府办公厅（室）及相关机构事务</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7,225,898.56</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1,543,983.03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7,225,898.56</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3,952,064.00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1,729,851.53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1,543,983.03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行政运行</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5,681,915.53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3,952,064.00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1,729,851.53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一般行政管理事务</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1,543,983.03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1,543,983.03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1,543,983.03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1,543,983.03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20132</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组织事务</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2013299</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其他组织事务支出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20136</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其他共产党事务支出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2013602</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一般行政管理事务</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教育支出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247,883.73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247,883.73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247,883.73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247,883.73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普通教育</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2050201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学前教育</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2050203</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初中教育</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20599</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其他教育支出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2059999</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其他教育支出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225,883.73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文化旅游体育与传媒支出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文化和旅游</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2070109</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群众文化</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94,118.00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社会保障和就业支出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2,843,200.44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836,496.44</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2,006,704.00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2,843,200.44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836,496.44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836,496.44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2,006,704.00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行政事业单位养老支出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2,594,696.44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836,496.44</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1,758,200.00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2,594,696.44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836,496.44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836,496.44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行政单位离退休</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2080502</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事业单位离退休</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524,112.00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524,112.00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524,112.00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524,112.00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524,112.00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机关事业单位职业年金缴费支出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271,584.44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271,584.44</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271,584.44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271,584.44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271,584.44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2080507</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对机关事业单位基本养老保险基金的补助</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1,758,200.00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1,758,200.00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1,758,200.00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1,758,200.00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抚恤</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248,504.00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248,504.00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248,504.00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248,504.00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2080805</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义务兵优待</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63,504.00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63,504.00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63,504.00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63,504.00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2080899</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其他优抚支出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卫生健康支出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1,241,955.00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1,241,955.00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750,600.00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公共卫生</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2100410</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突发公共卫生事件应急处理</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21007</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计划生育事务</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2100717</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计划生育服务</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行政事业单位医疗</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491,355.00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行政单位医疗</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188,664.96</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188,664.96</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188,664.96</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188,664.96</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188,664.96</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事业单位医疗</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73,391.04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73,391.04</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73,391.04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73,391.04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73,391.04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229,299.00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229,299.00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229,299.00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229,299.00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229,299.00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1,507,092.21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1,507,092.21</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1,507,092.21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1,507,092.21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城乡社区公共设施</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2120303</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小城镇基础设施建设</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905,474.32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21205</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城乡社区环境卫生</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2120501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城乡社区环境卫生</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601,617.89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农林水支出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4,394,731.62</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3,215,413.41</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4,394,731.62</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1,164,318.21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3,215,413.41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农业农村</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1,562,018.21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382,700.00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1,562,018.21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1,164,318.21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382,700.00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2130104</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事业运行</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1,179,318.21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1,164,318.21</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2130122</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农业生产发展</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2130199</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其他农业农村支出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72,700.00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林业和草原</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184,924.00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184,924.00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184,924.00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184,924.00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2130205</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森林资源培育</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125,800.00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125,800.00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125,800.00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125,800.00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其他林业和草原支出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59,124.00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59,124.00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59,124.00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水利</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2130399</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其他水利支出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860,128.64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农村综合改革</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对村民委员会和村党支部的补助</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1,787,660.77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交通运输支出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21401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公路水路运输</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2140106</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公路养护</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607,308.00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资源勘探工业信息等支出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21508</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支持中小企业发展和管理支出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2150899</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其他支持中小企业发展和管理支出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26,310,535.75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住房保障支出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住房改革支出</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941,580.69</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188" w:type="dxa"/>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363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523,075.68</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523,075.68</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523,075.68</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523,075.68</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523,075.68</w:t>
            </w:r>
          </w:p>
        </w:tc>
        <w:tc>
          <w:tcPr>
            <w:tcW w:w="129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88" w:type="dxa"/>
            <w:gridSpan w:val="3"/>
            <w:tcBorders>
              <w:top w:val="nil"/>
              <w:left w:val="single" w:color="000000" w:sz="4" w:space="0"/>
              <w:bottom w:val="single" w:color="000000" w:sz="8"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2210203</w:t>
            </w:r>
          </w:p>
        </w:tc>
        <w:tc>
          <w:tcPr>
            <w:tcW w:w="3636" w:type="dxa"/>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购房补贴</w:t>
            </w:r>
          </w:p>
        </w:tc>
        <w:tc>
          <w:tcPr>
            <w:tcW w:w="1386" w:type="dxa"/>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418,505.01</w:t>
            </w:r>
          </w:p>
        </w:tc>
        <w:tc>
          <w:tcPr>
            <w:tcW w:w="1296" w:type="dxa"/>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418,505.01</w:t>
            </w:r>
          </w:p>
        </w:tc>
        <w:tc>
          <w:tcPr>
            <w:tcW w:w="1386" w:type="dxa"/>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418,505.01</w:t>
            </w:r>
          </w:p>
        </w:tc>
        <w:tc>
          <w:tcPr>
            <w:tcW w:w="1296" w:type="dxa"/>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418,505.01</w:t>
            </w:r>
          </w:p>
        </w:tc>
        <w:tc>
          <w:tcPr>
            <w:tcW w:w="1296" w:type="dxa"/>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418,505.01</w:t>
            </w:r>
          </w:p>
        </w:tc>
        <w:tc>
          <w:tcPr>
            <w:tcW w:w="1296" w:type="dxa"/>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386" w:type="dxa"/>
            <w:tcBorders>
              <w:top w:val="nil"/>
              <w:left w:val="nil"/>
              <w:bottom w:val="single" w:color="000000" w:sz="8"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bl>
    <w:p>
      <w:pPr>
        <w:autoSpaceDE w:val="0"/>
        <w:autoSpaceDN w:val="0"/>
        <w:adjustRightInd w:val="0"/>
        <w:jc w:val="center"/>
        <w:outlineLvl w:val="0"/>
        <w:rPr>
          <w:rFonts w:ascii="方正小标宋简体" w:hAnsi="宋体" w:eastAsia="方正小标宋简体" w:cs="黑体"/>
          <w:color w:val="auto"/>
          <w:sz w:val="32"/>
          <w:szCs w:val="32"/>
        </w:rPr>
      </w:pPr>
      <w:r>
        <w:rPr>
          <w:rFonts w:ascii="宋体" w:cs="黑体"/>
          <w:color w:val="auto"/>
          <w:szCs w:val="21"/>
        </w:rPr>
        <w:br w:type="page"/>
      </w:r>
      <w:r>
        <w:rPr>
          <w:rFonts w:hint="eastAsia" w:ascii="方正小标宋简体" w:hAnsi="宋体" w:eastAsia="方正小标宋简体" w:cs="黑体"/>
          <w:color w:val="auto"/>
          <w:sz w:val="32"/>
          <w:szCs w:val="32"/>
          <w:lang w:eastAsia="zh-CN"/>
        </w:rPr>
        <w:t>202</w:t>
      </w:r>
      <w:r>
        <w:rPr>
          <w:rFonts w:hint="eastAsia" w:ascii="方正小标宋简体" w:hAnsi="宋体" w:eastAsia="方正小标宋简体" w:cs="黑体"/>
          <w:color w:val="auto"/>
          <w:sz w:val="32"/>
          <w:szCs w:val="32"/>
          <w:lang w:val="en-US" w:eastAsia="zh-CN"/>
        </w:rPr>
        <w:t>2</w:t>
      </w:r>
      <w:r>
        <w:rPr>
          <w:rFonts w:hint="eastAsia" w:ascii="方正小标宋简体" w:hAnsi="宋体" w:eastAsia="方正小标宋简体" w:cs="黑体"/>
          <w:color w:val="auto"/>
          <w:sz w:val="32"/>
          <w:szCs w:val="32"/>
        </w:rPr>
        <w:t>年度一般公共预算财政拨款“三公”经费及机关运行经费支出决算表</w:t>
      </w:r>
    </w:p>
    <w:p>
      <w:pPr>
        <w:autoSpaceDE w:val="0"/>
        <w:autoSpaceDN w:val="0"/>
        <w:adjustRightInd w:val="0"/>
        <w:ind w:right="360"/>
        <w:jc w:val="left"/>
        <w:rPr>
          <w:rFonts w:ascii="黑体" w:hAnsi="黑体" w:eastAsia="黑体" w:cs="黑体"/>
          <w:color w:val="auto"/>
          <w:szCs w:val="21"/>
        </w:rPr>
      </w:pPr>
    </w:p>
    <w:p>
      <w:pPr>
        <w:autoSpaceDE w:val="0"/>
        <w:autoSpaceDN w:val="0"/>
        <w:adjustRightInd w:val="0"/>
        <w:ind w:right="360"/>
        <w:jc w:val="left"/>
        <w:rPr>
          <w:rFonts w:ascii="黑体" w:hAnsi="黑体" w:eastAsia="黑体" w:cs="黑体"/>
          <w:color w:val="auto"/>
          <w:szCs w:val="21"/>
        </w:rPr>
      </w:pPr>
      <w:r>
        <w:rPr>
          <w:rFonts w:hint="eastAsia" w:ascii="黑体" w:hAnsi="黑体" w:eastAsia="黑体" w:cs="黑体"/>
          <w:color w:val="auto"/>
          <w:szCs w:val="21"/>
        </w:rPr>
        <w:t>公开</w:t>
      </w:r>
      <w:r>
        <w:rPr>
          <w:rFonts w:ascii="黑体" w:hAnsi="黑体" w:eastAsia="黑体" w:cs="黑体"/>
          <w:color w:val="auto"/>
          <w:szCs w:val="21"/>
        </w:rPr>
        <w:t>0</w:t>
      </w:r>
      <w:r>
        <w:rPr>
          <w:rFonts w:hint="eastAsia" w:ascii="黑体" w:hAnsi="黑体" w:eastAsia="黑体" w:cs="黑体"/>
          <w:color w:val="auto"/>
          <w:szCs w:val="21"/>
          <w:lang w:val="en-US" w:eastAsia="zh-CN"/>
        </w:rPr>
        <w:t>6</w:t>
      </w:r>
      <w:r>
        <w:rPr>
          <w:rFonts w:hint="eastAsia" w:ascii="黑体" w:hAnsi="黑体" w:eastAsia="黑体" w:cs="黑体"/>
          <w:color w:val="auto"/>
          <w:szCs w:val="21"/>
        </w:rPr>
        <w:t>表</w:t>
      </w:r>
      <w:r>
        <w:rPr>
          <w:rFonts w:ascii="黑体" w:hAnsi="黑体" w:eastAsia="黑体" w:cs="黑体"/>
          <w:color w:val="auto"/>
          <w:szCs w:val="21"/>
        </w:rPr>
        <w:t xml:space="preserve">                                                                                                          </w:t>
      </w:r>
      <w:r>
        <w:rPr>
          <w:rFonts w:hint="eastAsia" w:ascii="黑体" w:hAnsi="黑体" w:eastAsia="黑体" w:cs="黑体"/>
          <w:color w:val="auto"/>
          <w:szCs w:val="21"/>
        </w:rPr>
        <w:t>单位：万元</w:t>
      </w:r>
    </w:p>
    <w:tbl>
      <w:tblPr>
        <w:tblStyle w:val="9"/>
        <w:tblW w:w="14097" w:type="dxa"/>
        <w:tblInd w:w="76" w:type="dxa"/>
        <w:tblLayout w:type="fixed"/>
        <w:tblCellMar>
          <w:top w:w="0" w:type="dxa"/>
          <w:left w:w="108" w:type="dxa"/>
          <w:bottom w:w="0" w:type="dxa"/>
          <w:right w:w="108" w:type="dxa"/>
        </w:tblCellMar>
      </w:tblPr>
      <w:tblGrid>
        <w:gridCol w:w="1172"/>
        <w:gridCol w:w="1172"/>
        <w:gridCol w:w="1173"/>
        <w:gridCol w:w="1173"/>
        <w:gridCol w:w="1179"/>
        <w:gridCol w:w="1179"/>
        <w:gridCol w:w="1173"/>
        <w:gridCol w:w="1173"/>
        <w:gridCol w:w="1173"/>
        <w:gridCol w:w="1173"/>
        <w:gridCol w:w="1176"/>
        <w:gridCol w:w="1181"/>
      </w:tblGrid>
      <w:tr>
        <w:tblPrEx>
          <w:tblCellMar>
            <w:top w:w="0" w:type="dxa"/>
            <w:left w:w="108" w:type="dxa"/>
            <w:bottom w:w="0" w:type="dxa"/>
            <w:right w:w="108" w:type="dxa"/>
          </w:tblCellMar>
        </w:tblPrEx>
        <w:trPr>
          <w:trHeight w:val="308" w:hRule="atLeast"/>
        </w:trPr>
        <w:tc>
          <w:tcPr>
            <w:tcW w:w="7048"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预算数</w:t>
            </w:r>
          </w:p>
        </w:tc>
        <w:tc>
          <w:tcPr>
            <w:tcW w:w="7049" w:type="dxa"/>
            <w:gridSpan w:val="6"/>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决算数</w:t>
            </w:r>
          </w:p>
        </w:tc>
      </w:tr>
      <w:tr>
        <w:tblPrEx>
          <w:tblCellMar>
            <w:top w:w="0" w:type="dxa"/>
            <w:left w:w="108" w:type="dxa"/>
            <w:bottom w:w="0" w:type="dxa"/>
            <w:right w:w="108" w:type="dxa"/>
          </w:tblCellMar>
        </w:tblPrEx>
        <w:trPr>
          <w:trHeight w:val="308" w:hRule="atLeast"/>
        </w:trPr>
        <w:tc>
          <w:tcPr>
            <w:tcW w:w="1172" w:type="dxa"/>
            <w:vMerge w:val="restart"/>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合计</w:t>
            </w:r>
          </w:p>
        </w:tc>
        <w:tc>
          <w:tcPr>
            <w:tcW w:w="1172" w:type="dxa"/>
            <w:vMerge w:val="restart"/>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因公出国（境）费</w:t>
            </w:r>
          </w:p>
        </w:tc>
        <w:tc>
          <w:tcPr>
            <w:tcW w:w="3525" w:type="dxa"/>
            <w:gridSpan w:val="3"/>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公务用车购置及运行费</w:t>
            </w:r>
          </w:p>
        </w:tc>
        <w:tc>
          <w:tcPr>
            <w:tcW w:w="1179" w:type="dxa"/>
            <w:vMerge w:val="restart"/>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公务接待费</w:t>
            </w:r>
          </w:p>
        </w:tc>
        <w:tc>
          <w:tcPr>
            <w:tcW w:w="1173" w:type="dxa"/>
            <w:vMerge w:val="restart"/>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合计</w:t>
            </w:r>
          </w:p>
        </w:tc>
        <w:tc>
          <w:tcPr>
            <w:tcW w:w="1173" w:type="dxa"/>
            <w:vMerge w:val="restart"/>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因公出国（境）费</w:t>
            </w:r>
          </w:p>
        </w:tc>
        <w:tc>
          <w:tcPr>
            <w:tcW w:w="3522" w:type="dxa"/>
            <w:gridSpan w:val="3"/>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公务用车购置及运行费</w:t>
            </w:r>
          </w:p>
        </w:tc>
        <w:tc>
          <w:tcPr>
            <w:tcW w:w="1181" w:type="dxa"/>
            <w:vMerge w:val="restart"/>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公务接待费</w:t>
            </w:r>
          </w:p>
        </w:tc>
      </w:tr>
      <w:tr>
        <w:tblPrEx>
          <w:tblCellMar>
            <w:top w:w="0" w:type="dxa"/>
            <w:left w:w="108" w:type="dxa"/>
            <w:bottom w:w="0" w:type="dxa"/>
            <w:right w:w="108" w:type="dxa"/>
          </w:tblCellMar>
        </w:tblPrEx>
        <w:trPr>
          <w:trHeight w:val="615" w:hRule="atLeast"/>
        </w:trPr>
        <w:tc>
          <w:tcPr>
            <w:tcW w:w="1172" w:type="dxa"/>
            <w:vMerge w:val="continue"/>
            <w:tcBorders>
              <w:top w:val="nil"/>
              <w:left w:val="single" w:color="000000" w:sz="4" w:space="0"/>
              <w:bottom w:val="single" w:color="000000" w:sz="4" w:space="0"/>
              <w:right w:val="single" w:color="000000" w:sz="4" w:space="0"/>
            </w:tcBorders>
            <w:vAlign w:val="center"/>
          </w:tcPr>
          <w:p>
            <w:pPr>
              <w:rPr>
                <w:rFonts w:hint="eastAsia" w:ascii="宋体" w:cs="Arial"/>
                <w:color w:val="auto"/>
                <w:sz w:val="22"/>
              </w:rPr>
            </w:pPr>
          </w:p>
        </w:tc>
        <w:tc>
          <w:tcPr>
            <w:tcW w:w="1172" w:type="dxa"/>
            <w:vMerge w:val="continue"/>
            <w:tcBorders>
              <w:top w:val="nil"/>
              <w:left w:val="nil"/>
              <w:bottom w:val="single" w:color="000000" w:sz="4" w:space="0"/>
              <w:right w:val="single" w:color="000000" w:sz="4" w:space="0"/>
            </w:tcBorders>
            <w:vAlign w:val="center"/>
          </w:tcPr>
          <w:p>
            <w:pPr>
              <w:rPr>
                <w:rFonts w:hint="eastAsia" w:ascii="宋体" w:cs="Arial"/>
                <w:color w:val="auto"/>
                <w:sz w:val="22"/>
              </w:rPr>
            </w:pPr>
          </w:p>
        </w:tc>
        <w:tc>
          <w:tcPr>
            <w:tcW w:w="1173"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小计</w:t>
            </w:r>
          </w:p>
        </w:tc>
        <w:tc>
          <w:tcPr>
            <w:tcW w:w="1173"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公务用车购置费</w:t>
            </w:r>
          </w:p>
        </w:tc>
        <w:tc>
          <w:tcPr>
            <w:tcW w:w="1179"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公务用车运行费</w:t>
            </w:r>
          </w:p>
        </w:tc>
        <w:tc>
          <w:tcPr>
            <w:tcW w:w="1179" w:type="dxa"/>
            <w:vMerge w:val="continue"/>
            <w:tcBorders>
              <w:top w:val="nil"/>
              <w:left w:val="nil"/>
              <w:bottom w:val="single" w:color="000000" w:sz="4" w:space="0"/>
              <w:right w:val="single" w:color="000000" w:sz="4" w:space="0"/>
            </w:tcBorders>
            <w:vAlign w:val="center"/>
          </w:tcPr>
          <w:p>
            <w:pPr>
              <w:rPr>
                <w:rFonts w:hint="eastAsia" w:ascii="宋体" w:cs="Arial"/>
                <w:color w:val="auto"/>
                <w:sz w:val="22"/>
              </w:rPr>
            </w:pPr>
          </w:p>
        </w:tc>
        <w:tc>
          <w:tcPr>
            <w:tcW w:w="1173" w:type="dxa"/>
            <w:vMerge w:val="continue"/>
            <w:tcBorders>
              <w:top w:val="nil"/>
              <w:left w:val="nil"/>
              <w:bottom w:val="single" w:color="000000" w:sz="4" w:space="0"/>
              <w:right w:val="single" w:color="000000" w:sz="4" w:space="0"/>
            </w:tcBorders>
            <w:vAlign w:val="center"/>
          </w:tcPr>
          <w:p>
            <w:pPr>
              <w:rPr>
                <w:rFonts w:hint="eastAsia" w:ascii="宋体" w:cs="Arial"/>
                <w:color w:val="auto"/>
                <w:sz w:val="22"/>
              </w:rPr>
            </w:pPr>
          </w:p>
        </w:tc>
        <w:tc>
          <w:tcPr>
            <w:tcW w:w="1173" w:type="dxa"/>
            <w:vMerge w:val="continue"/>
            <w:tcBorders>
              <w:top w:val="nil"/>
              <w:left w:val="nil"/>
              <w:bottom w:val="single" w:color="000000" w:sz="4" w:space="0"/>
              <w:right w:val="single" w:color="000000" w:sz="4" w:space="0"/>
            </w:tcBorders>
            <w:vAlign w:val="center"/>
          </w:tcPr>
          <w:p>
            <w:pPr>
              <w:rPr>
                <w:rFonts w:hint="eastAsia" w:ascii="宋体" w:cs="Arial"/>
                <w:color w:val="auto"/>
                <w:sz w:val="22"/>
              </w:rPr>
            </w:pPr>
          </w:p>
        </w:tc>
        <w:tc>
          <w:tcPr>
            <w:tcW w:w="1173"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小计</w:t>
            </w:r>
          </w:p>
        </w:tc>
        <w:tc>
          <w:tcPr>
            <w:tcW w:w="1173"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公务用车购置费</w:t>
            </w:r>
          </w:p>
        </w:tc>
        <w:tc>
          <w:tcPr>
            <w:tcW w:w="1176"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hint="eastAsia" w:cs="Arial"/>
                <w:color w:val="auto"/>
                <w:sz w:val="22"/>
              </w:rPr>
              <w:t>公务用车运行费</w:t>
            </w:r>
          </w:p>
        </w:tc>
        <w:tc>
          <w:tcPr>
            <w:tcW w:w="1181" w:type="dxa"/>
            <w:vMerge w:val="continue"/>
            <w:tcBorders>
              <w:top w:val="nil"/>
              <w:left w:val="nil"/>
              <w:bottom w:val="single" w:color="000000" w:sz="4" w:space="0"/>
              <w:right w:val="single" w:color="000000" w:sz="4" w:space="0"/>
            </w:tcBorders>
            <w:vAlign w:val="center"/>
          </w:tcPr>
          <w:p>
            <w:pPr>
              <w:rPr>
                <w:rFonts w:hint="eastAsia" w:ascii="宋体" w:cs="Arial"/>
                <w:color w:val="auto"/>
                <w:sz w:val="22"/>
              </w:rPr>
            </w:pPr>
          </w:p>
        </w:tc>
      </w:tr>
      <w:tr>
        <w:tblPrEx>
          <w:tblCellMar>
            <w:top w:w="0" w:type="dxa"/>
            <w:left w:w="108" w:type="dxa"/>
            <w:bottom w:w="0" w:type="dxa"/>
            <w:right w:w="108" w:type="dxa"/>
          </w:tblCellMar>
        </w:tblPrEx>
        <w:trPr>
          <w:trHeight w:val="308" w:hRule="atLeast"/>
        </w:trPr>
        <w:tc>
          <w:tcPr>
            <w:tcW w:w="1172" w:type="dxa"/>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1</w:t>
            </w:r>
          </w:p>
        </w:tc>
        <w:tc>
          <w:tcPr>
            <w:tcW w:w="1172"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2</w:t>
            </w:r>
          </w:p>
        </w:tc>
        <w:tc>
          <w:tcPr>
            <w:tcW w:w="1173"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3</w:t>
            </w:r>
          </w:p>
        </w:tc>
        <w:tc>
          <w:tcPr>
            <w:tcW w:w="1173"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4</w:t>
            </w:r>
          </w:p>
        </w:tc>
        <w:tc>
          <w:tcPr>
            <w:tcW w:w="1179"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5</w:t>
            </w:r>
          </w:p>
        </w:tc>
        <w:tc>
          <w:tcPr>
            <w:tcW w:w="1179"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6</w:t>
            </w:r>
          </w:p>
        </w:tc>
        <w:tc>
          <w:tcPr>
            <w:tcW w:w="1173"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7</w:t>
            </w:r>
          </w:p>
        </w:tc>
        <w:tc>
          <w:tcPr>
            <w:tcW w:w="1173"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8</w:t>
            </w:r>
          </w:p>
        </w:tc>
        <w:tc>
          <w:tcPr>
            <w:tcW w:w="1173"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9</w:t>
            </w:r>
          </w:p>
        </w:tc>
        <w:tc>
          <w:tcPr>
            <w:tcW w:w="1173"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10</w:t>
            </w:r>
          </w:p>
        </w:tc>
        <w:tc>
          <w:tcPr>
            <w:tcW w:w="1176"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11</w:t>
            </w:r>
          </w:p>
        </w:tc>
        <w:tc>
          <w:tcPr>
            <w:tcW w:w="1181" w:type="dxa"/>
            <w:tcBorders>
              <w:top w:val="nil"/>
              <w:left w:val="nil"/>
              <w:bottom w:val="single" w:color="000000" w:sz="4" w:space="0"/>
              <w:right w:val="single" w:color="000000" w:sz="4" w:space="0"/>
            </w:tcBorders>
            <w:shd w:val="clear" w:color="FFFFFF" w:fill="C0C0C0"/>
            <w:vAlign w:val="center"/>
          </w:tcPr>
          <w:p>
            <w:pPr>
              <w:jc w:val="center"/>
              <w:rPr>
                <w:rFonts w:hint="eastAsia" w:ascii="宋体" w:cs="Arial"/>
                <w:color w:val="auto"/>
                <w:sz w:val="22"/>
              </w:rPr>
            </w:pPr>
            <w:r>
              <w:rPr>
                <w:rFonts w:cs="Arial"/>
                <w:color w:val="auto"/>
                <w:sz w:val="22"/>
              </w:rPr>
              <w:t>12</w:t>
            </w:r>
          </w:p>
        </w:tc>
      </w:tr>
      <w:tr>
        <w:tblPrEx>
          <w:tblCellMar>
            <w:top w:w="0" w:type="dxa"/>
            <w:left w:w="108" w:type="dxa"/>
            <w:bottom w:w="0" w:type="dxa"/>
            <w:right w:w="108" w:type="dxa"/>
          </w:tblCellMar>
        </w:tblPrEx>
        <w:trPr>
          <w:trHeight w:val="308" w:hRule="atLeast"/>
        </w:trPr>
        <w:tc>
          <w:tcPr>
            <w:tcW w:w="1172" w:type="dxa"/>
            <w:tcBorders>
              <w:top w:val="nil"/>
              <w:left w:val="single" w:color="000000" w:sz="4" w:space="0"/>
              <w:bottom w:val="single" w:color="000000" w:sz="4" w:space="0"/>
              <w:right w:val="single" w:color="000000" w:sz="4" w:space="0"/>
            </w:tcBorders>
            <w:vAlign w:val="center"/>
          </w:tcPr>
          <w:p>
            <w:pPr>
              <w:jc w:val="right"/>
              <w:rPr>
                <w:rFonts w:hint="default" w:ascii="宋体" w:eastAsia="宋体" w:cs="Arial"/>
                <w:color w:val="auto"/>
                <w:sz w:val="22"/>
                <w:lang w:val="en-US" w:eastAsia="zh-CN"/>
              </w:rPr>
            </w:pPr>
            <w:r>
              <w:rPr>
                <w:rFonts w:hint="eastAsia" w:ascii="宋体" w:cs="Arial"/>
                <w:color w:val="auto"/>
                <w:sz w:val="22"/>
                <w:lang w:val="en-US" w:eastAsia="zh-CN"/>
              </w:rPr>
              <w:t>14</w:t>
            </w:r>
          </w:p>
        </w:tc>
        <w:tc>
          <w:tcPr>
            <w:tcW w:w="1172" w:type="dxa"/>
            <w:tcBorders>
              <w:top w:val="nil"/>
              <w:left w:val="nil"/>
              <w:bottom w:val="single" w:color="000000" w:sz="4" w:space="0"/>
              <w:right w:val="single" w:color="000000" w:sz="4" w:space="0"/>
            </w:tcBorders>
            <w:vAlign w:val="center"/>
          </w:tcPr>
          <w:p>
            <w:pPr>
              <w:jc w:val="right"/>
              <w:rPr>
                <w:rFonts w:hint="eastAsia" w:ascii="宋体" w:cs="Arial"/>
                <w:color w:val="auto"/>
                <w:sz w:val="22"/>
              </w:rPr>
            </w:pPr>
            <w:r>
              <w:rPr>
                <w:rFonts w:hint="eastAsia" w:ascii="宋体" w:cs="Arial"/>
                <w:color w:val="auto"/>
                <w:sz w:val="22"/>
              </w:rPr>
              <w:t>0</w:t>
            </w:r>
          </w:p>
        </w:tc>
        <w:tc>
          <w:tcPr>
            <w:tcW w:w="1173" w:type="dxa"/>
            <w:tcBorders>
              <w:top w:val="nil"/>
              <w:left w:val="nil"/>
              <w:bottom w:val="single" w:color="000000" w:sz="4" w:space="0"/>
              <w:right w:val="single" w:color="000000" w:sz="4" w:space="0"/>
            </w:tcBorders>
            <w:vAlign w:val="center"/>
          </w:tcPr>
          <w:p>
            <w:pPr>
              <w:jc w:val="right"/>
              <w:rPr>
                <w:rFonts w:hint="eastAsia" w:ascii="宋体" w:eastAsia="宋体" w:cs="Arial"/>
                <w:color w:val="auto"/>
                <w:sz w:val="22"/>
                <w:lang w:val="en-US" w:eastAsia="zh-CN"/>
              </w:rPr>
            </w:pPr>
            <w:r>
              <w:rPr>
                <w:rFonts w:hint="eastAsia" w:ascii="宋体" w:cs="Arial"/>
                <w:color w:val="auto"/>
                <w:sz w:val="22"/>
                <w:lang w:val="en-US" w:eastAsia="zh-CN"/>
              </w:rPr>
              <w:t>8</w:t>
            </w:r>
          </w:p>
        </w:tc>
        <w:tc>
          <w:tcPr>
            <w:tcW w:w="1173" w:type="dxa"/>
            <w:tcBorders>
              <w:top w:val="nil"/>
              <w:left w:val="nil"/>
              <w:bottom w:val="single" w:color="000000" w:sz="4" w:space="0"/>
              <w:right w:val="single" w:color="000000" w:sz="4" w:space="0"/>
            </w:tcBorders>
            <w:vAlign w:val="center"/>
          </w:tcPr>
          <w:p>
            <w:pPr>
              <w:jc w:val="right"/>
              <w:rPr>
                <w:rFonts w:hint="eastAsia" w:ascii="宋体" w:cs="Arial"/>
                <w:color w:val="auto"/>
                <w:sz w:val="22"/>
              </w:rPr>
            </w:pPr>
          </w:p>
        </w:tc>
        <w:tc>
          <w:tcPr>
            <w:tcW w:w="1179" w:type="dxa"/>
            <w:tcBorders>
              <w:top w:val="nil"/>
              <w:left w:val="nil"/>
              <w:bottom w:val="single" w:color="000000" w:sz="4" w:space="0"/>
              <w:right w:val="single" w:color="000000" w:sz="4" w:space="0"/>
            </w:tcBorders>
            <w:vAlign w:val="center"/>
          </w:tcPr>
          <w:p>
            <w:pPr>
              <w:jc w:val="right"/>
              <w:rPr>
                <w:rFonts w:hint="default" w:ascii="宋体" w:eastAsia="宋体" w:cs="Arial"/>
                <w:color w:val="auto"/>
                <w:sz w:val="22"/>
                <w:lang w:val="en-US" w:eastAsia="zh-CN"/>
              </w:rPr>
            </w:pPr>
            <w:r>
              <w:rPr>
                <w:rFonts w:hint="eastAsia" w:ascii="宋体" w:cs="Arial"/>
                <w:color w:val="auto"/>
                <w:sz w:val="22"/>
                <w:lang w:val="en-US" w:eastAsia="zh-CN"/>
              </w:rPr>
              <w:t>8</w:t>
            </w:r>
          </w:p>
        </w:tc>
        <w:tc>
          <w:tcPr>
            <w:tcW w:w="1179" w:type="dxa"/>
            <w:tcBorders>
              <w:top w:val="nil"/>
              <w:left w:val="nil"/>
              <w:bottom w:val="single" w:color="000000" w:sz="4" w:space="0"/>
              <w:right w:val="single" w:color="000000" w:sz="4" w:space="0"/>
            </w:tcBorders>
            <w:vAlign w:val="center"/>
          </w:tcPr>
          <w:p>
            <w:pPr>
              <w:jc w:val="right"/>
              <w:rPr>
                <w:rFonts w:hint="default" w:ascii="宋体" w:eastAsia="宋体" w:cs="Arial"/>
                <w:color w:val="auto"/>
                <w:sz w:val="22"/>
                <w:lang w:val="en-US" w:eastAsia="zh-CN"/>
              </w:rPr>
            </w:pPr>
            <w:r>
              <w:rPr>
                <w:rFonts w:hint="eastAsia" w:ascii="宋体" w:cs="Arial"/>
                <w:color w:val="auto"/>
                <w:sz w:val="22"/>
                <w:lang w:val="en-US" w:eastAsia="zh-CN"/>
              </w:rPr>
              <w:t>6</w:t>
            </w:r>
          </w:p>
        </w:tc>
        <w:tc>
          <w:tcPr>
            <w:tcW w:w="1173" w:type="dxa"/>
            <w:tcBorders>
              <w:top w:val="nil"/>
              <w:left w:val="nil"/>
              <w:bottom w:val="single" w:color="000000" w:sz="4" w:space="0"/>
              <w:right w:val="single" w:color="000000" w:sz="4" w:space="0"/>
            </w:tcBorders>
            <w:vAlign w:val="center"/>
          </w:tcPr>
          <w:p>
            <w:pPr>
              <w:jc w:val="right"/>
              <w:rPr>
                <w:rFonts w:hint="default" w:ascii="宋体" w:eastAsia="宋体" w:cs="Arial"/>
                <w:color w:val="auto"/>
                <w:sz w:val="22"/>
                <w:lang w:val="en-US" w:eastAsia="zh-CN"/>
              </w:rPr>
            </w:pPr>
            <w:r>
              <w:rPr>
                <w:rFonts w:hint="eastAsia" w:ascii="宋体" w:cs="Arial"/>
                <w:color w:val="auto"/>
                <w:sz w:val="22"/>
                <w:lang w:val="en-US" w:eastAsia="zh-CN"/>
              </w:rPr>
              <w:t>14.77</w:t>
            </w:r>
          </w:p>
        </w:tc>
        <w:tc>
          <w:tcPr>
            <w:tcW w:w="1173" w:type="dxa"/>
            <w:tcBorders>
              <w:top w:val="nil"/>
              <w:left w:val="nil"/>
              <w:bottom w:val="single" w:color="000000" w:sz="4" w:space="0"/>
              <w:right w:val="single" w:color="000000" w:sz="4" w:space="0"/>
            </w:tcBorders>
            <w:vAlign w:val="center"/>
          </w:tcPr>
          <w:p>
            <w:pPr>
              <w:jc w:val="right"/>
              <w:rPr>
                <w:rFonts w:hint="eastAsia" w:ascii="宋体" w:cs="Arial"/>
                <w:color w:val="auto"/>
                <w:sz w:val="22"/>
              </w:rPr>
            </w:pPr>
            <w:r>
              <w:rPr>
                <w:rFonts w:cs="Arial"/>
                <w:color w:val="auto"/>
                <w:sz w:val="22"/>
              </w:rPr>
              <w:t>0.00</w:t>
            </w:r>
          </w:p>
        </w:tc>
        <w:tc>
          <w:tcPr>
            <w:tcW w:w="1173" w:type="dxa"/>
            <w:tcBorders>
              <w:top w:val="nil"/>
              <w:left w:val="nil"/>
              <w:bottom w:val="single" w:color="000000" w:sz="4" w:space="0"/>
              <w:right w:val="single" w:color="000000" w:sz="4" w:space="0"/>
            </w:tcBorders>
            <w:vAlign w:val="center"/>
          </w:tcPr>
          <w:p>
            <w:pPr>
              <w:jc w:val="right"/>
              <w:rPr>
                <w:rFonts w:hint="default" w:ascii="宋体" w:eastAsia="宋体" w:cs="Arial"/>
                <w:color w:val="auto"/>
                <w:sz w:val="22"/>
                <w:lang w:val="en-US" w:eastAsia="zh-CN"/>
              </w:rPr>
            </w:pPr>
            <w:r>
              <w:rPr>
                <w:rFonts w:hint="eastAsia" w:ascii="宋体" w:cs="Arial"/>
                <w:color w:val="auto"/>
                <w:sz w:val="22"/>
                <w:lang w:val="en-US" w:eastAsia="zh-CN"/>
              </w:rPr>
              <w:t>8.87</w:t>
            </w:r>
          </w:p>
        </w:tc>
        <w:tc>
          <w:tcPr>
            <w:tcW w:w="1173" w:type="dxa"/>
            <w:tcBorders>
              <w:top w:val="nil"/>
              <w:left w:val="nil"/>
              <w:bottom w:val="single" w:color="000000" w:sz="4" w:space="0"/>
              <w:right w:val="single" w:color="000000" w:sz="4" w:space="0"/>
            </w:tcBorders>
            <w:vAlign w:val="center"/>
          </w:tcPr>
          <w:p>
            <w:pPr>
              <w:jc w:val="right"/>
              <w:rPr>
                <w:rFonts w:hint="eastAsia" w:ascii="宋体" w:cs="Arial"/>
                <w:color w:val="auto"/>
                <w:sz w:val="22"/>
              </w:rPr>
            </w:pPr>
          </w:p>
        </w:tc>
        <w:tc>
          <w:tcPr>
            <w:tcW w:w="1176" w:type="dxa"/>
            <w:tcBorders>
              <w:top w:val="nil"/>
              <w:left w:val="nil"/>
              <w:bottom w:val="single" w:color="000000" w:sz="4" w:space="0"/>
              <w:right w:val="single" w:color="000000" w:sz="4" w:space="0"/>
            </w:tcBorders>
            <w:vAlign w:val="center"/>
          </w:tcPr>
          <w:p>
            <w:pPr>
              <w:jc w:val="right"/>
              <w:rPr>
                <w:rFonts w:hint="default" w:ascii="宋体" w:eastAsia="宋体" w:cs="Arial"/>
                <w:color w:val="auto"/>
                <w:sz w:val="22"/>
                <w:lang w:val="en-US" w:eastAsia="zh-CN"/>
              </w:rPr>
            </w:pPr>
            <w:r>
              <w:rPr>
                <w:rFonts w:hint="eastAsia" w:ascii="宋体" w:cs="Arial"/>
                <w:color w:val="auto"/>
                <w:sz w:val="22"/>
                <w:lang w:val="en-US" w:eastAsia="zh-CN"/>
              </w:rPr>
              <w:t>8.87</w:t>
            </w:r>
          </w:p>
        </w:tc>
        <w:tc>
          <w:tcPr>
            <w:tcW w:w="1181" w:type="dxa"/>
            <w:tcBorders>
              <w:top w:val="nil"/>
              <w:left w:val="nil"/>
              <w:bottom w:val="single" w:color="000000" w:sz="4" w:space="0"/>
              <w:right w:val="single" w:color="000000" w:sz="4" w:space="0"/>
            </w:tcBorders>
            <w:vAlign w:val="center"/>
          </w:tcPr>
          <w:p>
            <w:pPr>
              <w:jc w:val="right"/>
              <w:rPr>
                <w:rFonts w:hint="eastAsia" w:ascii="宋体" w:cs="Arial"/>
                <w:color w:val="auto"/>
                <w:sz w:val="22"/>
              </w:rPr>
            </w:pPr>
            <w:r>
              <w:rPr>
                <w:rFonts w:hint="eastAsia" w:ascii="宋体" w:cs="Arial"/>
                <w:color w:val="auto"/>
                <w:sz w:val="22"/>
              </w:rPr>
              <w:t>5.9</w:t>
            </w:r>
          </w:p>
        </w:tc>
      </w:tr>
    </w:tbl>
    <w:p>
      <w:pPr>
        <w:autoSpaceDE w:val="0"/>
        <w:autoSpaceDN w:val="0"/>
        <w:adjustRightInd w:val="0"/>
        <w:rPr>
          <w:rFonts w:hint="eastAsia" w:ascii="宋体" w:cs="黑体"/>
          <w:color w:val="auto"/>
          <w:szCs w:val="21"/>
        </w:rPr>
      </w:pPr>
    </w:p>
    <w:p>
      <w:pPr>
        <w:autoSpaceDE w:val="0"/>
        <w:autoSpaceDN w:val="0"/>
        <w:adjustRightInd w:val="0"/>
        <w:rPr>
          <w:rFonts w:hint="eastAsia" w:ascii="宋体" w:cs="黑体"/>
          <w:color w:val="auto"/>
          <w:szCs w:val="21"/>
        </w:rPr>
        <w:sectPr>
          <w:pgSz w:w="16838" w:h="11906" w:orient="landscape"/>
          <w:pgMar w:top="1797" w:right="1440" w:bottom="1797" w:left="1440" w:header="851" w:footer="992" w:gutter="0"/>
          <w:pgNumType w:fmt="numberInDash"/>
          <w:cols w:space="425" w:num="1"/>
          <w:docGrid w:linePitch="312" w:charSpace="0"/>
        </w:sectPr>
      </w:pPr>
    </w:p>
    <w:p>
      <w:pPr>
        <w:autoSpaceDE w:val="0"/>
        <w:autoSpaceDN w:val="0"/>
        <w:adjustRightInd w:val="0"/>
        <w:outlineLvl w:val="0"/>
        <w:rPr>
          <w:rFonts w:ascii="方正小标宋简体" w:hAnsi="宋体" w:eastAsia="方正小标宋简体" w:cs="黑体"/>
          <w:color w:val="auto"/>
          <w:sz w:val="32"/>
          <w:szCs w:val="32"/>
        </w:rPr>
      </w:pPr>
    </w:p>
    <w:p>
      <w:pPr>
        <w:autoSpaceDE w:val="0"/>
        <w:autoSpaceDN w:val="0"/>
        <w:adjustRightInd w:val="0"/>
        <w:jc w:val="center"/>
        <w:outlineLvl w:val="0"/>
        <w:rPr>
          <w:rFonts w:ascii="方正小标宋简体" w:hAnsi="宋体" w:eastAsia="方正小标宋简体" w:cs="黑体"/>
          <w:color w:val="auto"/>
          <w:sz w:val="32"/>
          <w:szCs w:val="32"/>
        </w:rPr>
      </w:pPr>
      <w:r>
        <w:rPr>
          <w:rFonts w:hint="eastAsia" w:ascii="方正小标宋简体" w:hAnsi="宋体" w:eastAsia="方正小标宋简体" w:cs="黑体"/>
          <w:color w:val="auto"/>
          <w:sz w:val="32"/>
          <w:szCs w:val="32"/>
          <w:lang w:eastAsia="zh-CN"/>
        </w:rPr>
        <w:t>202</w:t>
      </w:r>
      <w:r>
        <w:rPr>
          <w:rFonts w:hint="eastAsia" w:ascii="方正小标宋简体" w:hAnsi="宋体" w:eastAsia="方正小标宋简体" w:cs="黑体"/>
          <w:color w:val="auto"/>
          <w:sz w:val="32"/>
          <w:szCs w:val="32"/>
          <w:lang w:val="en-US" w:eastAsia="zh-CN"/>
        </w:rPr>
        <w:t>2</w:t>
      </w:r>
      <w:r>
        <w:rPr>
          <w:rFonts w:hint="eastAsia" w:ascii="方正小标宋简体" w:hAnsi="宋体" w:eastAsia="方正小标宋简体" w:cs="黑体"/>
          <w:color w:val="auto"/>
          <w:sz w:val="32"/>
          <w:szCs w:val="32"/>
        </w:rPr>
        <w:t>年度政府性基金预算财政拨款收入支出决算表</w:t>
      </w:r>
    </w:p>
    <w:p>
      <w:pPr>
        <w:autoSpaceDE w:val="0"/>
        <w:autoSpaceDN w:val="0"/>
        <w:adjustRightInd w:val="0"/>
        <w:ind w:right="360"/>
        <w:jc w:val="left"/>
        <w:rPr>
          <w:rFonts w:hint="eastAsia" w:ascii="宋体" w:cs="黑体"/>
          <w:color w:val="auto"/>
          <w:szCs w:val="21"/>
        </w:rPr>
      </w:pPr>
    </w:p>
    <w:p>
      <w:pPr>
        <w:autoSpaceDE w:val="0"/>
        <w:autoSpaceDN w:val="0"/>
        <w:adjustRightInd w:val="0"/>
        <w:ind w:right="360"/>
        <w:jc w:val="left"/>
        <w:rPr>
          <w:rFonts w:hint="eastAsia" w:ascii="宋体" w:cs="黑体"/>
          <w:color w:val="auto"/>
          <w:szCs w:val="21"/>
        </w:rPr>
      </w:pPr>
    </w:p>
    <w:p>
      <w:pPr>
        <w:autoSpaceDE w:val="0"/>
        <w:autoSpaceDN w:val="0"/>
        <w:adjustRightInd w:val="0"/>
        <w:ind w:right="360"/>
        <w:jc w:val="left"/>
        <w:rPr>
          <w:rFonts w:ascii="黑体" w:hAnsi="黑体" w:eastAsia="黑体" w:cs="黑体"/>
          <w:color w:val="auto"/>
          <w:szCs w:val="21"/>
        </w:rPr>
      </w:pPr>
      <w:r>
        <w:rPr>
          <w:rFonts w:hint="eastAsia" w:ascii="黑体" w:hAnsi="黑体" w:eastAsia="黑体" w:cs="黑体"/>
          <w:color w:val="auto"/>
          <w:szCs w:val="21"/>
        </w:rPr>
        <w:t>公开</w:t>
      </w:r>
      <w:r>
        <w:rPr>
          <w:rFonts w:ascii="黑体" w:hAnsi="黑体" w:eastAsia="黑体" w:cs="黑体"/>
          <w:color w:val="auto"/>
          <w:szCs w:val="21"/>
        </w:rPr>
        <w:t>0</w:t>
      </w:r>
      <w:r>
        <w:rPr>
          <w:rFonts w:hint="eastAsia" w:ascii="黑体" w:hAnsi="黑体" w:eastAsia="黑体" w:cs="黑体"/>
          <w:color w:val="auto"/>
          <w:szCs w:val="21"/>
          <w:lang w:val="en-US" w:eastAsia="zh-CN"/>
        </w:rPr>
        <w:t>7</w:t>
      </w:r>
      <w:r>
        <w:rPr>
          <w:rFonts w:hint="eastAsia" w:ascii="黑体" w:hAnsi="黑体" w:eastAsia="黑体" w:cs="黑体"/>
          <w:color w:val="auto"/>
          <w:szCs w:val="21"/>
        </w:rPr>
        <w:t>表</w:t>
      </w:r>
      <w:r>
        <w:rPr>
          <w:rFonts w:ascii="黑体" w:hAnsi="黑体" w:eastAsia="黑体" w:cs="黑体"/>
          <w:color w:val="auto"/>
          <w:szCs w:val="21"/>
        </w:rPr>
        <w:t xml:space="preserve">                                                                                                              </w:t>
      </w:r>
      <w:r>
        <w:rPr>
          <w:rFonts w:hint="eastAsia" w:ascii="黑体" w:hAnsi="黑体" w:eastAsia="黑体" w:cs="黑体"/>
          <w:color w:val="auto"/>
          <w:szCs w:val="21"/>
        </w:rPr>
        <w:t>单位</w:t>
      </w:r>
      <w:r>
        <w:rPr>
          <w:rFonts w:ascii="黑体" w:hAnsi="黑体" w:eastAsia="黑体" w:cs="黑体"/>
          <w:color w:val="auto"/>
          <w:szCs w:val="21"/>
        </w:rPr>
        <w:t xml:space="preserve">: </w:t>
      </w:r>
      <w:r>
        <w:rPr>
          <w:rFonts w:hint="eastAsia" w:ascii="黑体" w:hAnsi="黑体" w:eastAsia="黑体" w:cs="黑体"/>
          <w:color w:val="auto"/>
          <w:szCs w:val="21"/>
        </w:rPr>
        <w:t>万元</w:t>
      </w:r>
      <w:r>
        <w:rPr>
          <w:rFonts w:ascii="黑体" w:hAnsi="黑体" w:eastAsia="黑体" w:cs="黑体"/>
          <w:color w:val="auto"/>
          <w:szCs w:val="21"/>
        </w:rPr>
        <w:t xml:space="preserve">                                                                                                                 </w:t>
      </w:r>
    </w:p>
    <w:tbl>
      <w:tblPr>
        <w:tblStyle w:val="9"/>
        <w:tblW w:w="13065" w:type="dxa"/>
        <w:tblInd w:w="0" w:type="dxa"/>
        <w:tblLayout w:type="fixed"/>
        <w:tblCellMar>
          <w:top w:w="15" w:type="dxa"/>
          <w:left w:w="15" w:type="dxa"/>
          <w:bottom w:w="15" w:type="dxa"/>
          <w:right w:w="15" w:type="dxa"/>
        </w:tblCellMar>
      </w:tblPr>
      <w:tblGrid>
        <w:gridCol w:w="330"/>
        <w:gridCol w:w="960"/>
        <w:gridCol w:w="960"/>
        <w:gridCol w:w="3631"/>
        <w:gridCol w:w="1095"/>
        <w:gridCol w:w="1200"/>
        <w:gridCol w:w="1215"/>
        <w:gridCol w:w="1110"/>
        <w:gridCol w:w="1486"/>
        <w:gridCol w:w="1078"/>
      </w:tblGrid>
      <w:tr>
        <w:tblPrEx>
          <w:tblCellMar>
            <w:top w:w="15" w:type="dxa"/>
            <w:left w:w="15" w:type="dxa"/>
            <w:bottom w:w="15" w:type="dxa"/>
            <w:right w:w="15" w:type="dxa"/>
          </w:tblCellMar>
        </w:tblPrEx>
        <w:trPr>
          <w:trHeight w:val="301" w:hRule="atLeast"/>
        </w:trPr>
        <w:tc>
          <w:tcPr>
            <w:tcW w:w="5881" w:type="dxa"/>
            <w:gridSpan w:val="4"/>
            <w:tcBorders>
              <w:top w:val="single" w:color="000000" w:sz="4" w:space="0"/>
              <w:left w:val="single" w:color="000000" w:sz="4" w:space="0"/>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项目</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年初结转和结余</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本年收入</w:t>
            </w:r>
          </w:p>
        </w:tc>
        <w:tc>
          <w:tcPr>
            <w:tcW w:w="3811" w:type="dxa"/>
            <w:gridSpan w:val="3"/>
            <w:tcBorders>
              <w:top w:val="single" w:color="000000" w:sz="4" w:space="0"/>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本年支出</w:t>
            </w:r>
          </w:p>
        </w:tc>
        <w:tc>
          <w:tcPr>
            <w:tcW w:w="1078" w:type="dxa"/>
            <w:vMerge w:val="restart"/>
            <w:tcBorders>
              <w:top w:val="single" w:color="000000" w:sz="4" w:space="0"/>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年末结转和结余</w:t>
            </w:r>
          </w:p>
        </w:tc>
      </w:tr>
      <w:tr>
        <w:tblPrEx>
          <w:tblCellMar>
            <w:top w:w="15" w:type="dxa"/>
            <w:left w:w="15" w:type="dxa"/>
            <w:bottom w:w="15" w:type="dxa"/>
            <w:right w:w="15" w:type="dxa"/>
          </w:tblCellMar>
        </w:tblPrEx>
        <w:trPr>
          <w:trHeight w:val="312" w:hRule="atLeast"/>
        </w:trPr>
        <w:tc>
          <w:tcPr>
            <w:tcW w:w="2250" w:type="dxa"/>
            <w:gridSpan w:val="3"/>
            <w:vMerge w:val="restart"/>
            <w:tcBorders>
              <w:left w:val="single" w:color="000000" w:sz="4" w:space="0"/>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支出功能分类科目编码</w:t>
            </w:r>
          </w:p>
        </w:tc>
        <w:tc>
          <w:tcPr>
            <w:tcW w:w="3631" w:type="dxa"/>
            <w:vMerge w:val="restart"/>
            <w:tcBorders>
              <w:bottom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科目名称</w:t>
            </w:r>
          </w:p>
        </w:tc>
        <w:tc>
          <w:tcPr>
            <w:tcW w:w="1095"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215" w:type="dxa"/>
            <w:vMerge w:val="restart"/>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小计</w:t>
            </w:r>
          </w:p>
        </w:tc>
        <w:tc>
          <w:tcPr>
            <w:tcW w:w="1110" w:type="dxa"/>
            <w:vMerge w:val="restart"/>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基本支出</w:t>
            </w:r>
          </w:p>
        </w:tc>
        <w:tc>
          <w:tcPr>
            <w:tcW w:w="1486" w:type="dxa"/>
            <w:vMerge w:val="restart"/>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项目支出</w:t>
            </w:r>
          </w:p>
        </w:tc>
        <w:tc>
          <w:tcPr>
            <w:tcW w:w="1078"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r>
      <w:tr>
        <w:tblPrEx>
          <w:tblCellMar>
            <w:top w:w="15" w:type="dxa"/>
            <w:left w:w="15" w:type="dxa"/>
            <w:bottom w:w="15" w:type="dxa"/>
            <w:right w:w="15" w:type="dxa"/>
          </w:tblCellMar>
        </w:tblPrEx>
        <w:trPr>
          <w:trHeight w:val="312" w:hRule="atLeast"/>
        </w:trPr>
        <w:tc>
          <w:tcPr>
            <w:tcW w:w="2250" w:type="dxa"/>
            <w:gridSpan w:val="3"/>
            <w:vMerge w:val="continue"/>
            <w:tcBorders>
              <w:left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3631" w:type="dxa"/>
            <w:vMerge w:val="continue"/>
            <w:tcBorders>
              <w:bottom w:val="single" w:color="000000" w:sz="4" w:space="0"/>
            </w:tcBorders>
            <w:shd w:val="clear" w:color="FFFFFF" w:fill="C0C0C0"/>
            <w:vAlign w:val="center"/>
          </w:tcPr>
          <w:p>
            <w:pPr>
              <w:jc w:val="center"/>
              <w:rPr>
                <w:rFonts w:ascii="宋体" w:hAnsi="宋体" w:cs="宋体"/>
                <w:color w:val="auto"/>
                <w:sz w:val="22"/>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215" w:type="dxa"/>
            <w:vMerge w:val="continue"/>
            <w:tcBorders>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110" w:type="dxa"/>
            <w:vMerge w:val="continue"/>
            <w:tcBorders>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486" w:type="dxa"/>
            <w:vMerge w:val="continue"/>
            <w:tcBorders>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078"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r>
      <w:tr>
        <w:tblPrEx>
          <w:tblCellMar>
            <w:top w:w="15" w:type="dxa"/>
            <w:left w:w="15" w:type="dxa"/>
            <w:bottom w:w="15" w:type="dxa"/>
            <w:right w:w="15" w:type="dxa"/>
          </w:tblCellMar>
        </w:tblPrEx>
        <w:trPr>
          <w:trHeight w:val="615" w:hRule="atLeast"/>
        </w:trPr>
        <w:tc>
          <w:tcPr>
            <w:tcW w:w="2250" w:type="dxa"/>
            <w:gridSpan w:val="3"/>
            <w:vMerge w:val="continue"/>
            <w:tcBorders>
              <w:left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3631" w:type="dxa"/>
            <w:vMerge w:val="continue"/>
            <w:tcBorders>
              <w:bottom w:val="single" w:color="000000" w:sz="4" w:space="0"/>
            </w:tcBorders>
            <w:shd w:val="clear" w:color="FFFFFF" w:fill="C0C0C0"/>
            <w:vAlign w:val="center"/>
          </w:tcPr>
          <w:p>
            <w:pPr>
              <w:jc w:val="center"/>
              <w:rPr>
                <w:rFonts w:ascii="宋体" w:hAnsi="宋体" w:cs="宋体"/>
                <w:color w:val="auto"/>
                <w:sz w:val="22"/>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215" w:type="dxa"/>
            <w:vMerge w:val="continue"/>
            <w:tcBorders>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110" w:type="dxa"/>
            <w:vMerge w:val="continue"/>
            <w:tcBorders>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486" w:type="dxa"/>
            <w:vMerge w:val="continue"/>
            <w:tcBorders>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1078" w:type="dxa"/>
            <w:vMerge w:val="continue"/>
            <w:tcBorders>
              <w:top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r>
      <w:tr>
        <w:tblPrEx>
          <w:tblCellMar>
            <w:top w:w="15" w:type="dxa"/>
            <w:left w:w="15" w:type="dxa"/>
            <w:bottom w:w="15" w:type="dxa"/>
            <w:right w:w="15" w:type="dxa"/>
          </w:tblCellMar>
        </w:tblPrEx>
        <w:trPr>
          <w:trHeight w:val="301" w:hRule="atLeast"/>
        </w:trPr>
        <w:tc>
          <w:tcPr>
            <w:tcW w:w="330" w:type="dxa"/>
            <w:vMerge w:val="restart"/>
            <w:tcBorders>
              <w:left w:val="single" w:color="000000" w:sz="4" w:space="0"/>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类</w:t>
            </w:r>
          </w:p>
        </w:tc>
        <w:tc>
          <w:tcPr>
            <w:tcW w:w="960" w:type="dxa"/>
            <w:vMerge w:val="restart"/>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款</w:t>
            </w:r>
          </w:p>
        </w:tc>
        <w:tc>
          <w:tcPr>
            <w:tcW w:w="960" w:type="dxa"/>
            <w:vMerge w:val="restart"/>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项</w:t>
            </w:r>
          </w:p>
        </w:tc>
        <w:tc>
          <w:tcPr>
            <w:tcW w:w="3631" w:type="dxa"/>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栏次</w:t>
            </w:r>
          </w:p>
        </w:tc>
        <w:tc>
          <w:tcPr>
            <w:tcW w:w="1095" w:type="dxa"/>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1</w:t>
            </w:r>
          </w:p>
        </w:tc>
        <w:tc>
          <w:tcPr>
            <w:tcW w:w="1200" w:type="dxa"/>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2</w:t>
            </w:r>
          </w:p>
        </w:tc>
        <w:tc>
          <w:tcPr>
            <w:tcW w:w="1215" w:type="dxa"/>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3</w:t>
            </w:r>
          </w:p>
        </w:tc>
        <w:tc>
          <w:tcPr>
            <w:tcW w:w="1110" w:type="dxa"/>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4</w:t>
            </w:r>
          </w:p>
        </w:tc>
        <w:tc>
          <w:tcPr>
            <w:tcW w:w="1486" w:type="dxa"/>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5</w:t>
            </w:r>
          </w:p>
        </w:tc>
        <w:tc>
          <w:tcPr>
            <w:tcW w:w="1078" w:type="dxa"/>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6</w:t>
            </w:r>
          </w:p>
        </w:tc>
      </w:tr>
      <w:tr>
        <w:tblPrEx>
          <w:tblCellMar>
            <w:top w:w="15" w:type="dxa"/>
            <w:left w:w="15" w:type="dxa"/>
            <w:bottom w:w="15" w:type="dxa"/>
            <w:right w:w="15" w:type="dxa"/>
          </w:tblCellMar>
        </w:tblPrEx>
        <w:trPr>
          <w:trHeight w:val="301" w:hRule="atLeast"/>
        </w:trPr>
        <w:tc>
          <w:tcPr>
            <w:tcW w:w="330" w:type="dxa"/>
            <w:vMerge w:val="continue"/>
            <w:tcBorders>
              <w:left w:val="single" w:color="000000" w:sz="4" w:space="0"/>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960" w:type="dxa"/>
            <w:vMerge w:val="continue"/>
            <w:tcBorders>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960" w:type="dxa"/>
            <w:vMerge w:val="continue"/>
            <w:tcBorders>
              <w:bottom w:val="single" w:color="000000" w:sz="4" w:space="0"/>
              <w:right w:val="single" w:color="000000" w:sz="4" w:space="0"/>
            </w:tcBorders>
            <w:shd w:val="clear" w:color="FFFFFF" w:fill="C0C0C0"/>
            <w:vAlign w:val="center"/>
          </w:tcPr>
          <w:p>
            <w:pPr>
              <w:jc w:val="center"/>
              <w:rPr>
                <w:rFonts w:ascii="宋体" w:hAnsi="宋体" w:cs="宋体"/>
                <w:color w:val="auto"/>
                <w:sz w:val="22"/>
              </w:rPr>
            </w:pPr>
          </w:p>
        </w:tc>
        <w:tc>
          <w:tcPr>
            <w:tcW w:w="3631" w:type="dxa"/>
            <w:tcBorders>
              <w:bottom w:val="single" w:color="000000" w:sz="4" w:space="0"/>
              <w:right w:val="single" w:color="000000" w:sz="4" w:space="0"/>
            </w:tcBorders>
            <w:shd w:val="clear" w:color="FFFFFF" w:fill="C0C0C0"/>
            <w:vAlign w:val="center"/>
          </w:tcPr>
          <w:p>
            <w:pPr>
              <w:widowControl/>
              <w:jc w:val="center"/>
              <w:textAlignment w:val="center"/>
              <w:rPr>
                <w:rFonts w:ascii="宋体" w:hAnsi="宋体" w:cs="宋体"/>
                <w:color w:val="auto"/>
                <w:sz w:val="22"/>
              </w:rPr>
            </w:pPr>
            <w:r>
              <w:rPr>
                <w:rFonts w:hint="eastAsia" w:ascii="宋体" w:hAnsi="宋体" w:cs="宋体"/>
                <w:color w:val="auto"/>
                <w:kern w:val="0"/>
                <w:sz w:val="22"/>
              </w:rPr>
              <w:t>合计</w:t>
            </w:r>
          </w:p>
        </w:tc>
        <w:tc>
          <w:tcPr>
            <w:tcW w:w="1095"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200"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215"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110"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486"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078"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r>
      <w:tr>
        <w:tblPrEx>
          <w:tblCellMar>
            <w:top w:w="15" w:type="dxa"/>
            <w:left w:w="15" w:type="dxa"/>
            <w:bottom w:w="15" w:type="dxa"/>
            <w:right w:w="15" w:type="dxa"/>
          </w:tblCellMar>
        </w:tblPrEx>
        <w:trPr>
          <w:trHeight w:val="301" w:hRule="atLeast"/>
        </w:trPr>
        <w:tc>
          <w:tcPr>
            <w:tcW w:w="2250" w:type="dxa"/>
            <w:gridSpan w:val="3"/>
            <w:tcBorders>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auto"/>
                <w:sz w:val="22"/>
              </w:rPr>
            </w:pPr>
          </w:p>
        </w:tc>
        <w:tc>
          <w:tcPr>
            <w:tcW w:w="3631" w:type="dxa"/>
            <w:tcBorders>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auto"/>
                <w:sz w:val="22"/>
              </w:rPr>
            </w:pPr>
          </w:p>
        </w:tc>
        <w:tc>
          <w:tcPr>
            <w:tcW w:w="1095"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200"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215"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110"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486"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078"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r>
      <w:tr>
        <w:tblPrEx>
          <w:tblCellMar>
            <w:top w:w="15" w:type="dxa"/>
            <w:left w:w="15" w:type="dxa"/>
            <w:bottom w:w="15" w:type="dxa"/>
            <w:right w:w="15" w:type="dxa"/>
          </w:tblCellMar>
        </w:tblPrEx>
        <w:trPr>
          <w:trHeight w:val="301" w:hRule="atLeast"/>
        </w:trPr>
        <w:tc>
          <w:tcPr>
            <w:tcW w:w="2250" w:type="dxa"/>
            <w:gridSpan w:val="3"/>
            <w:tcBorders>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auto"/>
                <w:sz w:val="22"/>
              </w:rPr>
            </w:pPr>
          </w:p>
        </w:tc>
        <w:tc>
          <w:tcPr>
            <w:tcW w:w="3631" w:type="dxa"/>
            <w:tcBorders>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auto"/>
                <w:sz w:val="22"/>
              </w:rPr>
            </w:pPr>
          </w:p>
        </w:tc>
        <w:tc>
          <w:tcPr>
            <w:tcW w:w="1095"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200"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215"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110"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486"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078"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r>
      <w:tr>
        <w:tblPrEx>
          <w:tblCellMar>
            <w:top w:w="15" w:type="dxa"/>
            <w:left w:w="15" w:type="dxa"/>
            <w:bottom w:w="15" w:type="dxa"/>
            <w:right w:w="15" w:type="dxa"/>
          </w:tblCellMar>
        </w:tblPrEx>
        <w:trPr>
          <w:trHeight w:val="301" w:hRule="atLeast"/>
        </w:trPr>
        <w:tc>
          <w:tcPr>
            <w:tcW w:w="2250" w:type="dxa"/>
            <w:gridSpan w:val="3"/>
            <w:tcBorders>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auto"/>
                <w:sz w:val="22"/>
              </w:rPr>
            </w:pPr>
          </w:p>
        </w:tc>
        <w:tc>
          <w:tcPr>
            <w:tcW w:w="3631" w:type="dxa"/>
            <w:tcBorders>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auto"/>
                <w:sz w:val="22"/>
              </w:rPr>
            </w:pPr>
          </w:p>
        </w:tc>
        <w:tc>
          <w:tcPr>
            <w:tcW w:w="1095"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200"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215"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110"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486"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c>
          <w:tcPr>
            <w:tcW w:w="1078" w:type="dxa"/>
            <w:tcBorders>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auto"/>
                <w:sz w:val="22"/>
              </w:rPr>
            </w:pPr>
          </w:p>
        </w:tc>
      </w:tr>
      <w:tr>
        <w:tblPrEx>
          <w:tblCellMar>
            <w:top w:w="15" w:type="dxa"/>
            <w:left w:w="15" w:type="dxa"/>
            <w:bottom w:w="15" w:type="dxa"/>
            <w:right w:w="15" w:type="dxa"/>
          </w:tblCellMar>
        </w:tblPrEx>
        <w:trPr>
          <w:trHeight w:val="301" w:hRule="atLeast"/>
        </w:trPr>
        <w:tc>
          <w:tcPr>
            <w:tcW w:w="2250" w:type="dxa"/>
            <w:gridSpan w:val="3"/>
            <w:tcBorders>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auto"/>
                <w:sz w:val="22"/>
              </w:rPr>
            </w:pPr>
          </w:p>
        </w:tc>
        <w:tc>
          <w:tcPr>
            <w:tcW w:w="3631" w:type="dxa"/>
            <w:tcBorders>
              <w:bottom w:val="single" w:color="000000" w:sz="4" w:space="0"/>
              <w:right w:val="single" w:color="000000" w:sz="4" w:space="0"/>
            </w:tcBorders>
            <w:shd w:val="clear" w:color="auto" w:fill="auto"/>
            <w:vAlign w:val="center"/>
          </w:tcPr>
          <w:p>
            <w:pPr>
              <w:jc w:val="left"/>
              <w:rPr>
                <w:rFonts w:ascii="宋体" w:hAnsi="宋体" w:cs="宋体"/>
                <w:color w:val="auto"/>
                <w:sz w:val="22"/>
              </w:rPr>
            </w:pPr>
          </w:p>
        </w:tc>
        <w:tc>
          <w:tcPr>
            <w:tcW w:w="1095"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200"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215"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110"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486"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078"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r>
      <w:tr>
        <w:tblPrEx>
          <w:tblCellMar>
            <w:top w:w="15" w:type="dxa"/>
            <w:left w:w="15" w:type="dxa"/>
            <w:bottom w:w="15" w:type="dxa"/>
            <w:right w:w="15" w:type="dxa"/>
          </w:tblCellMar>
        </w:tblPrEx>
        <w:trPr>
          <w:trHeight w:val="301" w:hRule="atLeast"/>
        </w:trPr>
        <w:tc>
          <w:tcPr>
            <w:tcW w:w="2250" w:type="dxa"/>
            <w:gridSpan w:val="3"/>
            <w:tcBorders>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auto"/>
                <w:sz w:val="22"/>
              </w:rPr>
            </w:pPr>
          </w:p>
        </w:tc>
        <w:tc>
          <w:tcPr>
            <w:tcW w:w="3631" w:type="dxa"/>
            <w:tcBorders>
              <w:bottom w:val="single" w:color="000000" w:sz="4" w:space="0"/>
              <w:right w:val="single" w:color="000000" w:sz="4" w:space="0"/>
            </w:tcBorders>
            <w:shd w:val="clear" w:color="auto" w:fill="auto"/>
            <w:vAlign w:val="center"/>
          </w:tcPr>
          <w:p>
            <w:pPr>
              <w:jc w:val="left"/>
              <w:rPr>
                <w:rFonts w:ascii="宋体" w:hAnsi="宋体" w:cs="宋体"/>
                <w:color w:val="auto"/>
                <w:sz w:val="22"/>
              </w:rPr>
            </w:pPr>
          </w:p>
        </w:tc>
        <w:tc>
          <w:tcPr>
            <w:tcW w:w="1095"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200"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215"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110"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486"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078"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r>
      <w:tr>
        <w:tblPrEx>
          <w:tblCellMar>
            <w:top w:w="15" w:type="dxa"/>
            <w:left w:w="15" w:type="dxa"/>
            <w:bottom w:w="15" w:type="dxa"/>
            <w:right w:w="15" w:type="dxa"/>
          </w:tblCellMar>
        </w:tblPrEx>
        <w:trPr>
          <w:trHeight w:val="301" w:hRule="atLeast"/>
        </w:trPr>
        <w:tc>
          <w:tcPr>
            <w:tcW w:w="2250" w:type="dxa"/>
            <w:gridSpan w:val="3"/>
            <w:tcBorders>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auto"/>
                <w:sz w:val="22"/>
              </w:rPr>
            </w:pPr>
          </w:p>
        </w:tc>
        <w:tc>
          <w:tcPr>
            <w:tcW w:w="3631" w:type="dxa"/>
            <w:tcBorders>
              <w:bottom w:val="single" w:color="000000" w:sz="4" w:space="0"/>
              <w:right w:val="single" w:color="000000" w:sz="4" w:space="0"/>
            </w:tcBorders>
            <w:shd w:val="clear" w:color="auto" w:fill="auto"/>
            <w:vAlign w:val="center"/>
          </w:tcPr>
          <w:p>
            <w:pPr>
              <w:jc w:val="left"/>
              <w:rPr>
                <w:rFonts w:ascii="宋体" w:hAnsi="宋体" w:cs="宋体"/>
                <w:color w:val="auto"/>
                <w:sz w:val="22"/>
              </w:rPr>
            </w:pPr>
          </w:p>
        </w:tc>
        <w:tc>
          <w:tcPr>
            <w:tcW w:w="1095"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200"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215"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110"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486"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078"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r>
      <w:tr>
        <w:tblPrEx>
          <w:tblCellMar>
            <w:top w:w="15" w:type="dxa"/>
            <w:left w:w="15" w:type="dxa"/>
            <w:bottom w:w="15" w:type="dxa"/>
            <w:right w:w="15" w:type="dxa"/>
          </w:tblCellMar>
        </w:tblPrEx>
        <w:trPr>
          <w:trHeight w:val="301" w:hRule="atLeast"/>
        </w:trPr>
        <w:tc>
          <w:tcPr>
            <w:tcW w:w="2250" w:type="dxa"/>
            <w:gridSpan w:val="3"/>
            <w:tcBorders>
              <w:left w:val="single" w:color="000000" w:sz="4" w:space="0"/>
              <w:bottom w:val="single" w:color="000000" w:sz="4" w:space="0"/>
              <w:right w:val="single" w:color="000000" w:sz="4" w:space="0"/>
            </w:tcBorders>
            <w:shd w:val="clear" w:color="auto" w:fill="auto"/>
            <w:vAlign w:val="center"/>
          </w:tcPr>
          <w:p>
            <w:pPr>
              <w:jc w:val="left"/>
              <w:rPr>
                <w:rFonts w:ascii="宋体" w:hAnsi="宋体" w:cs="宋体"/>
                <w:color w:val="auto"/>
                <w:sz w:val="22"/>
              </w:rPr>
            </w:pPr>
          </w:p>
        </w:tc>
        <w:tc>
          <w:tcPr>
            <w:tcW w:w="3631" w:type="dxa"/>
            <w:tcBorders>
              <w:bottom w:val="single" w:color="000000" w:sz="4" w:space="0"/>
              <w:right w:val="single" w:color="000000" w:sz="4" w:space="0"/>
            </w:tcBorders>
            <w:shd w:val="clear" w:color="auto" w:fill="auto"/>
            <w:vAlign w:val="center"/>
          </w:tcPr>
          <w:p>
            <w:pPr>
              <w:jc w:val="left"/>
              <w:rPr>
                <w:rFonts w:ascii="宋体" w:hAnsi="宋体" w:cs="宋体"/>
                <w:color w:val="auto"/>
                <w:sz w:val="22"/>
              </w:rPr>
            </w:pPr>
          </w:p>
        </w:tc>
        <w:tc>
          <w:tcPr>
            <w:tcW w:w="1095"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200"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215"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110"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486"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c>
          <w:tcPr>
            <w:tcW w:w="1078" w:type="dxa"/>
            <w:tcBorders>
              <w:bottom w:val="single" w:color="000000" w:sz="4" w:space="0"/>
              <w:right w:val="single" w:color="000000" w:sz="4" w:space="0"/>
            </w:tcBorders>
            <w:shd w:val="clear" w:color="auto" w:fill="auto"/>
            <w:vAlign w:val="center"/>
          </w:tcPr>
          <w:p>
            <w:pPr>
              <w:jc w:val="right"/>
              <w:rPr>
                <w:rFonts w:ascii="宋体" w:hAnsi="宋体" w:cs="宋体"/>
                <w:color w:val="auto"/>
                <w:sz w:val="22"/>
              </w:rPr>
            </w:pPr>
          </w:p>
        </w:tc>
      </w:tr>
      <w:tr>
        <w:tblPrEx>
          <w:tblCellMar>
            <w:top w:w="15" w:type="dxa"/>
            <w:left w:w="15" w:type="dxa"/>
            <w:bottom w:w="15" w:type="dxa"/>
            <w:right w:w="15" w:type="dxa"/>
          </w:tblCellMar>
        </w:tblPrEx>
        <w:trPr>
          <w:trHeight w:val="301" w:hRule="atLeast"/>
        </w:trPr>
        <w:tc>
          <w:tcPr>
            <w:tcW w:w="2250" w:type="dxa"/>
            <w:gridSpan w:val="3"/>
            <w:tcBorders>
              <w:left w:val="single" w:color="000000" w:sz="4" w:space="0"/>
              <w:bottom w:val="single" w:color="000000" w:sz="12" w:space="0"/>
              <w:right w:val="single" w:color="000000" w:sz="4" w:space="0"/>
            </w:tcBorders>
            <w:shd w:val="clear" w:color="auto" w:fill="auto"/>
            <w:vAlign w:val="center"/>
          </w:tcPr>
          <w:p>
            <w:pPr>
              <w:jc w:val="left"/>
              <w:rPr>
                <w:rFonts w:ascii="宋体" w:hAnsi="宋体" w:cs="宋体"/>
                <w:color w:val="auto"/>
                <w:sz w:val="22"/>
              </w:rPr>
            </w:pPr>
          </w:p>
        </w:tc>
        <w:tc>
          <w:tcPr>
            <w:tcW w:w="3631" w:type="dxa"/>
            <w:tcBorders>
              <w:bottom w:val="single" w:color="000000" w:sz="12" w:space="0"/>
              <w:right w:val="single" w:color="000000" w:sz="4" w:space="0"/>
            </w:tcBorders>
            <w:shd w:val="clear" w:color="auto" w:fill="auto"/>
            <w:vAlign w:val="center"/>
          </w:tcPr>
          <w:p>
            <w:pPr>
              <w:jc w:val="left"/>
              <w:rPr>
                <w:rFonts w:ascii="宋体" w:hAnsi="宋体" w:cs="宋体"/>
                <w:color w:val="auto"/>
                <w:sz w:val="22"/>
              </w:rPr>
            </w:pPr>
          </w:p>
        </w:tc>
        <w:tc>
          <w:tcPr>
            <w:tcW w:w="1095" w:type="dxa"/>
            <w:tcBorders>
              <w:bottom w:val="single" w:color="000000" w:sz="12" w:space="0"/>
              <w:right w:val="single" w:color="000000" w:sz="4" w:space="0"/>
            </w:tcBorders>
            <w:shd w:val="clear" w:color="auto" w:fill="auto"/>
            <w:vAlign w:val="center"/>
          </w:tcPr>
          <w:p>
            <w:pPr>
              <w:jc w:val="right"/>
              <w:rPr>
                <w:rFonts w:ascii="宋体" w:hAnsi="宋体" w:cs="宋体"/>
                <w:color w:val="auto"/>
                <w:sz w:val="22"/>
              </w:rPr>
            </w:pPr>
          </w:p>
        </w:tc>
        <w:tc>
          <w:tcPr>
            <w:tcW w:w="1200" w:type="dxa"/>
            <w:tcBorders>
              <w:bottom w:val="single" w:color="000000" w:sz="12" w:space="0"/>
              <w:right w:val="single" w:color="000000" w:sz="4" w:space="0"/>
            </w:tcBorders>
            <w:shd w:val="clear" w:color="auto" w:fill="auto"/>
            <w:vAlign w:val="center"/>
          </w:tcPr>
          <w:p>
            <w:pPr>
              <w:jc w:val="right"/>
              <w:rPr>
                <w:rFonts w:ascii="宋体" w:hAnsi="宋体" w:cs="宋体"/>
                <w:color w:val="auto"/>
                <w:sz w:val="22"/>
              </w:rPr>
            </w:pPr>
          </w:p>
        </w:tc>
        <w:tc>
          <w:tcPr>
            <w:tcW w:w="1215" w:type="dxa"/>
            <w:tcBorders>
              <w:bottom w:val="single" w:color="000000" w:sz="12" w:space="0"/>
              <w:right w:val="single" w:color="000000" w:sz="4" w:space="0"/>
            </w:tcBorders>
            <w:shd w:val="clear" w:color="auto" w:fill="auto"/>
            <w:vAlign w:val="center"/>
          </w:tcPr>
          <w:p>
            <w:pPr>
              <w:jc w:val="right"/>
              <w:rPr>
                <w:rFonts w:ascii="宋体" w:hAnsi="宋体" w:cs="宋体"/>
                <w:color w:val="auto"/>
                <w:sz w:val="22"/>
              </w:rPr>
            </w:pPr>
          </w:p>
        </w:tc>
        <w:tc>
          <w:tcPr>
            <w:tcW w:w="1110" w:type="dxa"/>
            <w:tcBorders>
              <w:bottom w:val="single" w:color="000000" w:sz="12" w:space="0"/>
              <w:right w:val="single" w:color="000000" w:sz="4" w:space="0"/>
            </w:tcBorders>
            <w:shd w:val="clear" w:color="auto" w:fill="auto"/>
            <w:vAlign w:val="center"/>
          </w:tcPr>
          <w:p>
            <w:pPr>
              <w:jc w:val="right"/>
              <w:rPr>
                <w:rFonts w:ascii="宋体" w:hAnsi="宋体" w:cs="宋体"/>
                <w:color w:val="auto"/>
                <w:sz w:val="22"/>
              </w:rPr>
            </w:pPr>
          </w:p>
        </w:tc>
        <w:tc>
          <w:tcPr>
            <w:tcW w:w="1486" w:type="dxa"/>
            <w:tcBorders>
              <w:bottom w:val="single" w:color="000000" w:sz="12" w:space="0"/>
              <w:right w:val="single" w:color="000000" w:sz="4" w:space="0"/>
            </w:tcBorders>
            <w:shd w:val="clear" w:color="auto" w:fill="auto"/>
            <w:vAlign w:val="center"/>
          </w:tcPr>
          <w:p>
            <w:pPr>
              <w:jc w:val="right"/>
              <w:rPr>
                <w:rFonts w:ascii="宋体" w:hAnsi="宋体" w:cs="宋体"/>
                <w:color w:val="auto"/>
                <w:sz w:val="22"/>
              </w:rPr>
            </w:pPr>
          </w:p>
        </w:tc>
        <w:tc>
          <w:tcPr>
            <w:tcW w:w="1078" w:type="dxa"/>
            <w:tcBorders>
              <w:bottom w:val="single" w:color="000000" w:sz="12" w:space="0"/>
              <w:right w:val="single" w:color="000000" w:sz="4" w:space="0"/>
            </w:tcBorders>
            <w:shd w:val="clear" w:color="auto" w:fill="auto"/>
            <w:vAlign w:val="center"/>
          </w:tcPr>
          <w:p>
            <w:pPr>
              <w:jc w:val="right"/>
              <w:rPr>
                <w:rFonts w:ascii="宋体" w:hAnsi="宋体" w:cs="宋体"/>
                <w:color w:val="auto"/>
                <w:sz w:val="22"/>
              </w:rPr>
            </w:pPr>
          </w:p>
        </w:tc>
      </w:tr>
    </w:tbl>
    <w:p>
      <w:pPr>
        <w:jc w:val="center"/>
        <w:rPr>
          <w:rFonts w:ascii="黑体" w:hAnsi="黑体" w:eastAsia="黑体" w:cs="黑体"/>
          <w:b/>
          <w:color w:val="auto"/>
          <w:sz w:val="24"/>
          <w:szCs w:val="24"/>
        </w:rPr>
      </w:pPr>
    </w:p>
    <w:p>
      <w:pPr>
        <w:jc w:val="center"/>
        <w:rPr>
          <w:rFonts w:ascii="黑体" w:hAnsi="黑体" w:eastAsia="黑体" w:cs="黑体"/>
          <w:b/>
          <w:color w:val="auto"/>
          <w:sz w:val="24"/>
          <w:szCs w:val="24"/>
        </w:rPr>
      </w:pPr>
    </w:p>
    <w:p>
      <w:pPr>
        <w:jc w:val="both"/>
        <w:rPr>
          <w:rFonts w:ascii="黑体" w:hAnsi="黑体" w:eastAsia="黑体" w:cs="黑体"/>
          <w:b/>
          <w:color w:val="auto"/>
          <w:sz w:val="24"/>
          <w:szCs w:val="24"/>
        </w:rPr>
      </w:pPr>
    </w:p>
    <w:p>
      <w:pPr>
        <w:jc w:val="center"/>
        <w:rPr>
          <w:rFonts w:hint="eastAsia" w:ascii="宋体" w:cs="黑体"/>
          <w:color w:val="auto"/>
          <w:szCs w:val="21"/>
        </w:rPr>
      </w:pPr>
      <w:r>
        <w:rPr>
          <w:rFonts w:hint="eastAsia" w:ascii="黑体" w:eastAsia="黑体" w:cs="黑体"/>
          <w:color w:val="auto"/>
          <w:sz w:val="30"/>
          <w:szCs w:val="30"/>
        </w:rPr>
        <w:t>第三部分</w:t>
      </w:r>
      <w:r>
        <w:rPr>
          <w:rFonts w:ascii="黑体" w:eastAsia="黑体" w:cs="黑体"/>
          <w:color w:val="auto"/>
          <w:sz w:val="30"/>
          <w:szCs w:val="30"/>
        </w:rPr>
        <w:t xml:space="preserve">  </w:t>
      </w:r>
      <w:r>
        <w:rPr>
          <w:rFonts w:hint="eastAsia" w:ascii="黑体" w:eastAsia="黑体" w:cs="黑体"/>
          <w:color w:val="auto"/>
          <w:sz w:val="30"/>
          <w:szCs w:val="30"/>
        </w:rPr>
        <w:t>庄河市人民政府荷花山镇人民政府</w:t>
      </w:r>
      <w:r>
        <w:rPr>
          <w:rFonts w:hint="eastAsia" w:ascii="黑体" w:eastAsia="黑体" w:cs="黑体"/>
          <w:color w:val="auto"/>
          <w:sz w:val="30"/>
          <w:szCs w:val="30"/>
          <w:lang w:eastAsia="zh-CN"/>
        </w:rPr>
        <w:t>202</w:t>
      </w:r>
      <w:r>
        <w:rPr>
          <w:rFonts w:hint="eastAsia" w:ascii="黑体" w:eastAsia="黑体" w:cs="黑体"/>
          <w:color w:val="auto"/>
          <w:sz w:val="30"/>
          <w:szCs w:val="30"/>
          <w:lang w:val="en-US" w:eastAsia="zh-CN"/>
        </w:rPr>
        <w:t>2</w:t>
      </w:r>
      <w:r>
        <w:rPr>
          <w:rFonts w:hint="eastAsia" w:ascii="黑体" w:eastAsia="黑体" w:cs="黑体"/>
          <w:color w:val="auto"/>
          <w:sz w:val="30"/>
          <w:szCs w:val="30"/>
        </w:rPr>
        <w:t>年度部门决算情况说明</w:t>
      </w:r>
    </w:p>
    <w:p>
      <w:pPr>
        <w:jc w:val="center"/>
        <w:rPr>
          <w:rFonts w:hint="eastAsia" w:ascii="黑体" w:eastAsia="黑体" w:cs="黑体"/>
          <w:color w:val="auto"/>
          <w:sz w:val="30"/>
          <w:szCs w:val="30"/>
        </w:rPr>
      </w:pPr>
    </w:p>
    <w:p>
      <w:pPr>
        <w:pStyle w:val="21"/>
        <w:numPr>
          <w:ilvl w:val="0"/>
          <w:numId w:val="1"/>
        </w:numPr>
        <w:ind w:firstLineChars="0"/>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2</w:t>
      </w:r>
      <w:r>
        <w:rPr>
          <w:rFonts w:hint="eastAsia" w:ascii="楷体_GB2312" w:eastAsia="楷体_GB2312" w:cs="黑体"/>
          <w:b/>
          <w:color w:val="auto"/>
          <w:sz w:val="30"/>
          <w:szCs w:val="30"/>
        </w:rPr>
        <w:t>年度收入支出决算总体情况说明</w:t>
      </w:r>
    </w:p>
    <w:p>
      <w:pPr>
        <w:pStyle w:val="21"/>
        <w:ind w:left="720" w:firstLine="0" w:firstLineChars="0"/>
        <w:outlineLvl w:val="0"/>
        <w:rPr>
          <w:rFonts w:hint="eastAsia" w:ascii="楷体_GB2312" w:eastAsia="楷体_GB2312"/>
          <w:b/>
          <w:color w:val="auto"/>
          <w:sz w:val="30"/>
          <w:szCs w:val="30"/>
        </w:rPr>
      </w:pPr>
      <w:r>
        <w:rPr>
          <w:rFonts w:hint="eastAsia" w:hAnsi="宋体"/>
          <w:color w:val="auto"/>
          <w:sz w:val="30"/>
          <w:szCs w:val="30"/>
        </w:rPr>
        <w:t>庄河市荷花山镇人民政府</w:t>
      </w:r>
      <w:r>
        <w:rPr>
          <w:rFonts w:hint="eastAsia"/>
          <w:color w:val="auto"/>
          <w:sz w:val="30"/>
          <w:szCs w:val="30"/>
          <w:lang w:eastAsia="zh-CN"/>
        </w:rPr>
        <w:t>202</w:t>
      </w:r>
      <w:r>
        <w:rPr>
          <w:rFonts w:hint="eastAsia"/>
          <w:color w:val="auto"/>
          <w:sz w:val="30"/>
          <w:szCs w:val="30"/>
          <w:lang w:val="en-US" w:eastAsia="zh-CN"/>
        </w:rPr>
        <w:t>2</w:t>
      </w:r>
      <w:r>
        <w:rPr>
          <w:rFonts w:hint="eastAsia"/>
          <w:color w:val="auto"/>
          <w:sz w:val="30"/>
          <w:szCs w:val="30"/>
        </w:rPr>
        <w:t>年度收入总计为</w:t>
      </w:r>
      <w:r>
        <w:rPr>
          <w:rFonts w:hint="eastAsia"/>
          <w:color w:val="auto"/>
          <w:sz w:val="30"/>
          <w:szCs w:val="30"/>
          <w:lang w:val="en-US" w:eastAsia="zh-CN"/>
        </w:rPr>
        <w:t>4581.43</w:t>
      </w:r>
      <w:r>
        <w:rPr>
          <w:rFonts w:hint="eastAsia"/>
          <w:color w:val="auto"/>
          <w:sz w:val="30"/>
          <w:szCs w:val="30"/>
        </w:rPr>
        <w:t>万元、支出总计为</w:t>
      </w:r>
      <w:r>
        <w:rPr>
          <w:rFonts w:hint="eastAsia"/>
          <w:color w:val="auto"/>
          <w:sz w:val="30"/>
          <w:szCs w:val="30"/>
          <w:lang w:val="en-US" w:eastAsia="zh-CN"/>
        </w:rPr>
        <w:t>4581.43</w:t>
      </w:r>
      <w:r>
        <w:rPr>
          <w:rFonts w:hint="eastAsia"/>
          <w:color w:val="auto"/>
          <w:sz w:val="30"/>
          <w:szCs w:val="30"/>
        </w:rPr>
        <w:t>万元。与</w:t>
      </w:r>
      <w:r>
        <w:rPr>
          <w:rFonts w:hint="eastAsia"/>
          <w:color w:val="auto"/>
          <w:sz w:val="30"/>
          <w:szCs w:val="30"/>
          <w:lang w:eastAsia="zh-CN"/>
        </w:rPr>
        <w:t>20</w:t>
      </w:r>
      <w:r>
        <w:rPr>
          <w:rFonts w:hint="eastAsia"/>
          <w:color w:val="auto"/>
          <w:sz w:val="30"/>
          <w:szCs w:val="30"/>
          <w:lang w:val="en-US" w:eastAsia="zh-CN"/>
        </w:rPr>
        <w:t>21</w:t>
      </w:r>
      <w:r>
        <w:rPr>
          <w:rFonts w:hint="eastAsia"/>
          <w:color w:val="auto"/>
          <w:sz w:val="30"/>
          <w:szCs w:val="30"/>
        </w:rPr>
        <w:t>年度相比，收入、支出总计各减少</w:t>
      </w:r>
      <w:r>
        <w:rPr>
          <w:rFonts w:hint="eastAsia"/>
          <w:color w:val="auto"/>
          <w:sz w:val="30"/>
          <w:szCs w:val="30"/>
          <w:lang w:val="en-US" w:eastAsia="zh-CN"/>
        </w:rPr>
        <w:t>1434.06</w:t>
      </w:r>
      <w:r>
        <w:rPr>
          <w:rFonts w:hint="eastAsia"/>
          <w:color w:val="auto"/>
          <w:sz w:val="30"/>
          <w:szCs w:val="30"/>
        </w:rPr>
        <w:t>万元。主要原因：</w:t>
      </w:r>
      <w:r>
        <w:rPr>
          <w:rFonts w:hint="eastAsia"/>
          <w:color w:val="auto"/>
          <w:sz w:val="30"/>
          <w:szCs w:val="30"/>
          <w:lang w:val="en-US" w:eastAsia="zh-CN"/>
        </w:rPr>
        <w:t>税收减少</w:t>
      </w:r>
      <w:r>
        <w:rPr>
          <w:rFonts w:hint="eastAsia"/>
          <w:color w:val="auto"/>
          <w:sz w:val="30"/>
          <w:szCs w:val="30"/>
        </w:rPr>
        <w:t>，收入与支出减少。</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二、关于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2</w:t>
      </w:r>
      <w:r>
        <w:rPr>
          <w:rFonts w:hint="eastAsia" w:ascii="楷体_GB2312" w:eastAsia="楷体_GB2312" w:cs="黑体"/>
          <w:b/>
          <w:color w:val="auto"/>
          <w:sz w:val="30"/>
          <w:szCs w:val="30"/>
        </w:rPr>
        <w:t>年度收入决算情况说明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本年</w:t>
      </w:r>
      <w:r>
        <w:rPr>
          <w:rFonts w:hint="eastAsia" w:ascii="仿宋_GB2312" w:eastAsia="仿宋_GB2312" w:cs="黑体"/>
          <w:color w:val="auto"/>
          <w:sz w:val="30"/>
          <w:szCs w:val="30"/>
        </w:rPr>
        <w:t>收入合计</w:t>
      </w:r>
      <w:r>
        <w:rPr>
          <w:rFonts w:hint="eastAsia"/>
          <w:color w:val="auto"/>
          <w:sz w:val="30"/>
          <w:szCs w:val="30"/>
          <w:lang w:val="en-US" w:eastAsia="zh-CN"/>
        </w:rPr>
        <w:t>4581.43</w:t>
      </w:r>
      <w:r>
        <w:rPr>
          <w:rFonts w:hint="eastAsia" w:ascii="仿宋_GB2312" w:eastAsia="仿宋_GB2312" w:cs="黑体"/>
          <w:color w:val="auto"/>
          <w:sz w:val="30"/>
          <w:szCs w:val="30"/>
        </w:rPr>
        <w:t>万元，其中：财政拨款收入</w:t>
      </w:r>
      <w:r>
        <w:rPr>
          <w:rFonts w:hint="eastAsia"/>
          <w:color w:val="auto"/>
          <w:sz w:val="30"/>
          <w:szCs w:val="30"/>
          <w:lang w:val="en-US" w:eastAsia="zh-CN"/>
        </w:rPr>
        <w:t>4581.43</w:t>
      </w:r>
      <w:r>
        <w:rPr>
          <w:rFonts w:hint="eastAsia" w:ascii="仿宋_GB2312" w:eastAsia="仿宋_GB2312" w:cs="黑体"/>
          <w:color w:val="auto"/>
          <w:sz w:val="30"/>
          <w:szCs w:val="30"/>
        </w:rPr>
        <w:t>万元，占</w:t>
      </w:r>
      <w:r>
        <w:rPr>
          <w:rFonts w:ascii="仿宋_GB2312" w:eastAsia="仿宋_GB2312" w:cs="黑体"/>
          <w:color w:val="auto"/>
          <w:sz w:val="30"/>
          <w:szCs w:val="30"/>
        </w:rPr>
        <w:t>100%</w:t>
      </w:r>
      <w:r>
        <w:rPr>
          <w:rFonts w:hint="eastAsia" w:ascii="仿宋_GB2312" w:eastAsia="仿宋_GB2312" w:cs="黑体"/>
          <w:color w:val="auto"/>
          <w:sz w:val="30"/>
          <w:szCs w:val="30"/>
        </w:rPr>
        <w:t>。</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三、关于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2</w:t>
      </w:r>
      <w:r>
        <w:rPr>
          <w:rFonts w:hint="eastAsia" w:ascii="楷体_GB2312" w:eastAsia="楷体_GB2312" w:cs="黑体"/>
          <w:b/>
          <w:color w:val="auto"/>
          <w:sz w:val="30"/>
          <w:szCs w:val="30"/>
        </w:rPr>
        <w:t>年度支出决算情况说明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本年</w:t>
      </w:r>
      <w:r>
        <w:rPr>
          <w:rFonts w:hint="eastAsia" w:ascii="仿宋_GB2312" w:eastAsia="仿宋_GB2312" w:cs="黑体"/>
          <w:color w:val="auto"/>
          <w:sz w:val="30"/>
          <w:szCs w:val="30"/>
        </w:rPr>
        <w:t>支出合计</w:t>
      </w:r>
      <w:r>
        <w:rPr>
          <w:rFonts w:hint="eastAsia"/>
          <w:color w:val="auto"/>
          <w:sz w:val="30"/>
          <w:szCs w:val="30"/>
          <w:lang w:val="en-US" w:eastAsia="zh-CN"/>
        </w:rPr>
        <w:t>4581.43</w:t>
      </w:r>
      <w:r>
        <w:rPr>
          <w:rFonts w:hint="eastAsia" w:ascii="仿宋_GB2312" w:eastAsia="仿宋_GB2312" w:cs="黑体"/>
          <w:color w:val="auto"/>
          <w:sz w:val="30"/>
          <w:szCs w:val="30"/>
        </w:rPr>
        <w:t>万元，其中：基本支出</w:t>
      </w:r>
      <w:r>
        <w:rPr>
          <w:rFonts w:hint="eastAsia" w:ascii="仿宋_GB2312" w:eastAsia="仿宋_GB2312" w:cs="黑体"/>
          <w:color w:val="auto"/>
          <w:sz w:val="30"/>
          <w:szCs w:val="30"/>
          <w:lang w:val="en-US" w:eastAsia="zh-CN"/>
        </w:rPr>
        <w:t>913.07</w:t>
      </w:r>
      <w:r>
        <w:rPr>
          <w:rFonts w:hint="eastAsia" w:ascii="仿宋_GB2312" w:eastAsia="仿宋_GB2312" w:cs="黑体"/>
          <w:color w:val="auto"/>
          <w:sz w:val="30"/>
          <w:szCs w:val="30"/>
        </w:rPr>
        <w:t>万元，占</w:t>
      </w:r>
      <w:r>
        <w:rPr>
          <w:rFonts w:hint="eastAsia" w:ascii="仿宋_GB2312" w:eastAsia="仿宋_GB2312" w:cs="黑体"/>
          <w:color w:val="auto"/>
          <w:sz w:val="30"/>
          <w:szCs w:val="30"/>
          <w:lang w:val="en-US" w:eastAsia="zh-CN"/>
        </w:rPr>
        <w:t>19.9</w:t>
      </w:r>
      <w:r>
        <w:rPr>
          <w:rFonts w:ascii="仿宋_GB2312" w:eastAsia="仿宋_GB2312" w:cs="黑体"/>
          <w:color w:val="auto"/>
          <w:sz w:val="30"/>
          <w:szCs w:val="30"/>
        </w:rPr>
        <w:t>%</w:t>
      </w:r>
      <w:r>
        <w:rPr>
          <w:rFonts w:hint="eastAsia" w:ascii="仿宋_GB2312" w:eastAsia="仿宋_GB2312" w:cs="黑体"/>
          <w:color w:val="auto"/>
          <w:sz w:val="30"/>
          <w:szCs w:val="30"/>
        </w:rPr>
        <w:t>；项目支出</w:t>
      </w:r>
      <w:r>
        <w:rPr>
          <w:rFonts w:hint="eastAsia" w:ascii="仿宋_GB2312" w:eastAsia="仿宋_GB2312" w:cs="黑体"/>
          <w:color w:val="auto"/>
          <w:sz w:val="30"/>
          <w:szCs w:val="30"/>
          <w:lang w:val="en-US" w:eastAsia="zh-CN"/>
        </w:rPr>
        <w:t>3668.36</w:t>
      </w:r>
      <w:r>
        <w:rPr>
          <w:rFonts w:hint="eastAsia" w:ascii="仿宋_GB2312" w:eastAsia="仿宋_GB2312" w:cs="黑体"/>
          <w:color w:val="auto"/>
          <w:sz w:val="30"/>
          <w:szCs w:val="30"/>
        </w:rPr>
        <w:t>万元，占</w:t>
      </w:r>
      <w:r>
        <w:rPr>
          <w:rFonts w:hint="eastAsia" w:ascii="仿宋_GB2312" w:eastAsia="仿宋_GB2312" w:cs="黑体"/>
          <w:color w:val="auto"/>
          <w:sz w:val="30"/>
          <w:szCs w:val="30"/>
          <w:lang w:val="en-US" w:eastAsia="zh-CN"/>
        </w:rPr>
        <w:t>80.1</w:t>
      </w:r>
      <w:r>
        <w:rPr>
          <w:rFonts w:ascii="仿宋_GB2312" w:eastAsia="仿宋_GB2312" w:cs="黑体"/>
          <w:color w:val="auto"/>
          <w:sz w:val="30"/>
          <w:szCs w:val="30"/>
        </w:rPr>
        <w:t>%</w:t>
      </w:r>
      <w:r>
        <w:rPr>
          <w:rFonts w:hint="eastAsia" w:ascii="仿宋_GB2312" w:eastAsia="仿宋_GB2312" w:cs="黑体"/>
          <w:color w:val="auto"/>
          <w:sz w:val="30"/>
          <w:szCs w:val="30"/>
        </w:rPr>
        <w:t>。</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四、关于</w:t>
      </w:r>
      <w:r>
        <w:rPr>
          <w:rFonts w:hint="eastAsia" w:ascii="楷体_GB2312" w:hAnsi="宋体" w:eastAsia="楷体_GB2312" w:cs="黑体"/>
          <w:b/>
          <w:color w:val="auto"/>
          <w:sz w:val="30"/>
          <w:szCs w:val="30"/>
        </w:rPr>
        <w:t>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2</w:t>
      </w:r>
      <w:r>
        <w:rPr>
          <w:rFonts w:hint="eastAsia" w:ascii="楷体_GB2312" w:eastAsia="楷体_GB2312" w:cs="黑体"/>
          <w:b/>
          <w:color w:val="auto"/>
          <w:sz w:val="30"/>
          <w:szCs w:val="30"/>
        </w:rPr>
        <w:t>年度财政拨款收入支出总体情况说明</w:t>
      </w:r>
    </w:p>
    <w:p>
      <w:pPr>
        <w:outlineLvl w:val="0"/>
        <w:rPr>
          <w:rFonts w:hint="eastAsia" w:ascii="楷体_GB2312" w:eastAsia="楷体_GB2312" w:cs="黑体"/>
          <w:b/>
          <w:color w:val="auto"/>
          <w:sz w:val="30"/>
          <w:szCs w:val="30"/>
        </w:rPr>
      </w:pPr>
      <w:r>
        <w:rPr>
          <w:rFonts w:hint="eastAsia" w:ascii="仿宋_GB2312" w:hAnsi="宋体" w:eastAsia="仿宋_GB2312" w:cs="黑体"/>
          <w:color w:val="auto"/>
          <w:sz w:val="30"/>
          <w:szCs w:val="30"/>
        </w:rPr>
        <w:t>庄河市荷花山镇人民政府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年度财政拨款收支总决算</w:t>
      </w:r>
      <w:r>
        <w:rPr>
          <w:rFonts w:hint="eastAsia"/>
          <w:color w:val="auto"/>
          <w:sz w:val="30"/>
          <w:szCs w:val="30"/>
          <w:lang w:val="en-US" w:eastAsia="zh-CN"/>
        </w:rPr>
        <w:t>4581.43</w:t>
      </w:r>
      <w:r>
        <w:rPr>
          <w:rFonts w:hint="eastAsia" w:ascii="仿宋_GB2312" w:eastAsia="仿宋_GB2312" w:cs="黑体"/>
          <w:color w:val="auto"/>
          <w:sz w:val="30"/>
          <w:szCs w:val="30"/>
        </w:rPr>
        <w:t>万元。与</w:t>
      </w:r>
      <w:r>
        <w:rPr>
          <w:rFonts w:hint="eastAsia" w:ascii="仿宋_GB2312" w:eastAsia="仿宋_GB2312" w:cs="黑体"/>
          <w:color w:val="auto"/>
          <w:sz w:val="30"/>
          <w:szCs w:val="30"/>
          <w:lang w:eastAsia="zh-CN"/>
        </w:rPr>
        <w:t>20</w:t>
      </w:r>
      <w:r>
        <w:rPr>
          <w:rFonts w:hint="eastAsia" w:ascii="仿宋_GB2312" w:eastAsia="仿宋_GB2312" w:cs="黑体"/>
          <w:color w:val="auto"/>
          <w:sz w:val="30"/>
          <w:szCs w:val="30"/>
          <w:lang w:val="en-US" w:eastAsia="zh-CN"/>
        </w:rPr>
        <w:t>21</w:t>
      </w:r>
      <w:r>
        <w:rPr>
          <w:rFonts w:hint="eastAsia" w:ascii="仿宋_GB2312" w:eastAsia="仿宋_GB2312" w:cs="黑体"/>
          <w:color w:val="auto"/>
          <w:sz w:val="30"/>
          <w:szCs w:val="30"/>
        </w:rPr>
        <w:t>年度相比，财政拨款收、支总计各减少</w:t>
      </w:r>
      <w:r>
        <w:rPr>
          <w:rFonts w:hint="eastAsia"/>
          <w:color w:val="auto"/>
          <w:sz w:val="30"/>
          <w:szCs w:val="30"/>
          <w:lang w:val="en-US" w:eastAsia="zh-CN"/>
        </w:rPr>
        <w:t>1434.06</w:t>
      </w:r>
      <w:r>
        <w:rPr>
          <w:rFonts w:hint="eastAsia" w:ascii="仿宋_GB2312" w:eastAsia="仿宋_GB2312" w:cs="黑体"/>
          <w:color w:val="auto"/>
          <w:sz w:val="30"/>
          <w:szCs w:val="30"/>
        </w:rPr>
        <w:t>万元，下降</w:t>
      </w:r>
      <w:r>
        <w:rPr>
          <w:rFonts w:hint="eastAsia" w:ascii="仿宋_GB2312" w:eastAsia="仿宋_GB2312" w:cs="黑体"/>
          <w:color w:val="auto"/>
          <w:sz w:val="30"/>
          <w:szCs w:val="30"/>
          <w:lang w:val="en-US" w:eastAsia="zh-CN"/>
        </w:rPr>
        <w:t>23.8</w:t>
      </w:r>
      <w:r>
        <w:rPr>
          <w:rFonts w:ascii="仿宋_GB2312" w:eastAsia="仿宋_GB2312" w:cs="黑体"/>
          <w:color w:val="auto"/>
          <w:sz w:val="30"/>
          <w:szCs w:val="30"/>
        </w:rPr>
        <w:t>%</w:t>
      </w:r>
      <w:r>
        <w:rPr>
          <w:rFonts w:hint="eastAsia" w:ascii="仿宋_GB2312" w:eastAsia="仿宋_GB2312" w:cs="黑体"/>
          <w:color w:val="auto"/>
          <w:sz w:val="30"/>
          <w:szCs w:val="30"/>
        </w:rPr>
        <w:t>。主要原因：</w:t>
      </w:r>
      <w:r>
        <w:rPr>
          <w:rFonts w:hint="eastAsia" w:eastAsia="仿宋_GB2312"/>
          <w:color w:val="auto"/>
          <w:sz w:val="30"/>
          <w:szCs w:val="30"/>
          <w:lang w:val="en-US" w:eastAsia="zh-CN"/>
        </w:rPr>
        <w:t>税收减少</w:t>
      </w:r>
      <w:r>
        <w:rPr>
          <w:rFonts w:hint="eastAsia"/>
          <w:color w:val="auto"/>
          <w:sz w:val="30"/>
          <w:szCs w:val="30"/>
        </w:rPr>
        <w:t>，收入与支出减少</w:t>
      </w:r>
      <w:r>
        <w:rPr>
          <w:rFonts w:hint="eastAsia" w:ascii="仿宋_GB2312" w:eastAsia="仿宋_GB2312" w:cs="黑体"/>
          <w:color w:val="auto"/>
          <w:sz w:val="30"/>
          <w:szCs w:val="30"/>
        </w:rPr>
        <w:t>。</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五、关于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2</w:t>
      </w:r>
      <w:r>
        <w:rPr>
          <w:rFonts w:hint="eastAsia" w:ascii="楷体_GB2312" w:eastAsia="楷体_GB2312" w:cs="黑体"/>
          <w:b/>
          <w:color w:val="auto"/>
          <w:sz w:val="30"/>
          <w:szCs w:val="30"/>
        </w:rPr>
        <w:t>年度一般公共预算财政拨款支出决算情况说明</w:t>
      </w:r>
    </w:p>
    <w:p>
      <w:pPr>
        <w:outlineLvl w:val="0"/>
        <w:rPr>
          <w:rFonts w:ascii="楷体_GB2312" w:hAnsi="宋体" w:eastAsia="楷体_GB2312" w:cs="黑体"/>
          <w:b/>
          <w:color w:val="auto"/>
          <w:sz w:val="30"/>
          <w:szCs w:val="30"/>
        </w:rPr>
      </w:pPr>
      <w:r>
        <w:rPr>
          <w:rFonts w:hint="eastAsia" w:ascii="楷体_GB2312" w:hAnsi="宋体" w:eastAsia="楷体_GB2312" w:cs="黑体"/>
          <w:b/>
          <w:color w:val="auto"/>
          <w:sz w:val="30"/>
          <w:szCs w:val="30"/>
        </w:rPr>
        <w:t>（一）一般公共预算财政拨款支出决算总体情况</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年度一般公共预算财政拨款支出</w:t>
      </w:r>
      <w:r>
        <w:rPr>
          <w:rFonts w:hint="eastAsia"/>
          <w:color w:val="auto"/>
          <w:sz w:val="30"/>
          <w:szCs w:val="30"/>
          <w:lang w:val="en-US" w:eastAsia="zh-CN"/>
        </w:rPr>
        <w:t>4581.43</w:t>
      </w:r>
      <w:r>
        <w:rPr>
          <w:rFonts w:hint="eastAsia" w:ascii="仿宋_GB2312" w:eastAsia="仿宋_GB2312" w:cs="黑体"/>
          <w:color w:val="auto"/>
          <w:sz w:val="30"/>
          <w:szCs w:val="30"/>
        </w:rPr>
        <w:t>万元，占本年支出合计的</w:t>
      </w:r>
      <w:r>
        <w:rPr>
          <w:rFonts w:hint="eastAsia" w:ascii="仿宋_GB2312" w:eastAsia="仿宋_GB2312" w:cs="黑体"/>
          <w:color w:val="auto"/>
          <w:sz w:val="30"/>
          <w:szCs w:val="30"/>
          <w:lang w:val="en-US" w:eastAsia="zh-CN"/>
        </w:rPr>
        <w:t>100</w:t>
      </w:r>
      <w:r>
        <w:rPr>
          <w:rFonts w:ascii="仿宋_GB2312" w:eastAsia="仿宋_GB2312" w:cs="黑体"/>
          <w:color w:val="auto"/>
          <w:sz w:val="30"/>
          <w:szCs w:val="30"/>
        </w:rPr>
        <w:t>%</w:t>
      </w:r>
      <w:r>
        <w:rPr>
          <w:rFonts w:hint="eastAsia" w:ascii="仿宋_GB2312" w:eastAsia="仿宋_GB2312" w:cs="黑体"/>
          <w:color w:val="auto"/>
          <w:sz w:val="30"/>
          <w:szCs w:val="30"/>
        </w:rPr>
        <w:t>。与</w:t>
      </w:r>
      <w:r>
        <w:rPr>
          <w:rFonts w:hint="eastAsia" w:ascii="仿宋_GB2312" w:eastAsia="仿宋_GB2312" w:cs="黑体"/>
          <w:color w:val="auto"/>
          <w:sz w:val="30"/>
          <w:szCs w:val="30"/>
          <w:lang w:eastAsia="zh-CN"/>
        </w:rPr>
        <w:t>20</w:t>
      </w:r>
      <w:r>
        <w:rPr>
          <w:rFonts w:hint="eastAsia" w:ascii="仿宋_GB2312" w:eastAsia="仿宋_GB2312" w:cs="黑体"/>
          <w:color w:val="auto"/>
          <w:sz w:val="30"/>
          <w:szCs w:val="30"/>
          <w:lang w:val="en-US" w:eastAsia="zh-CN"/>
        </w:rPr>
        <w:t>21</w:t>
      </w:r>
      <w:r>
        <w:rPr>
          <w:rFonts w:hint="eastAsia" w:ascii="仿宋_GB2312" w:eastAsia="仿宋_GB2312" w:cs="黑体"/>
          <w:color w:val="auto"/>
          <w:sz w:val="30"/>
          <w:szCs w:val="30"/>
        </w:rPr>
        <w:t>年度相比，一般公共预算财政拨款支出减少</w:t>
      </w:r>
      <w:r>
        <w:rPr>
          <w:rFonts w:hint="eastAsia" w:ascii="仿宋_GB2312" w:eastAsia="仿宋_GB2312" w:cs="黑体"/>
          <w:color w:val="auto"/>
          <w:sz w:val="30"/>
          <w:szCs w:val="30"/>
          <w:lang w:val="en-US" w:eastAsia="zh-CN"/>
        </w:rPr>
        <w:t>1434.06</w:t>
      </w:r>
      <w:r>
        <w:rPr>
          <w:rFonts w:hint="eastAsia" w:ascii="仿宋_GB2312" w:eastAsia="仿宋_GB2312" w:cs="黑体"/>
          <w:color w:val="auto"/>
          <w:sz w:val="30"/>
          <w:szCs w:val="30"/>
        </w:rPr>
        <w:t>万元，下降</w:t>
      </w:r>
      <w:r>
        <w:rPr>
          <w:rFonts w:hint="eastAsia" w:ascii="仿宋_GB2312" w:eastAsia="仿宋_GB2312" w:cs="黑体"/>
          <w:color w:val="auto"/>
          <w:sz w:val="30"/>
          <w:szCs w:val="30"/>
          <w:lang w:val="en-US" w:eastAsia="zh-CN"/>
        </w:rPr>
        <w:t>23.8</w:t>
      </w:r>
      <w:r>
        <w:rPr>
          <w:rFonts w:ascii="仿宋_GB2312" w:eastAsia="仿宋_GB2312" w:cs="黑体"/>
          <w:color w:val="auto"/>
          <w:sz w:val="30"/>
          <w:szCs w:val="30"/>
        </w:rPr>
        <w:t>%</w:t>
      </w:r>
      <w:r>
        <w:rPr>
          <w:rFonts w:hint="eastAsia" w:ascii="仿宋_GB2312" w:eastAsia="仿宋_GB2312" w:cs="黑体"/>
          <w:color w:val="auto"/>
          <w:sz w:val="30"/>
          <w:szCs w:val="30"/>
        </w:rPr>
        <w:t>。主要原因：</w:t>
      </w:r>
      <w:r>
        <w:rPr>
          <w:rFonts w:hint="eastAsia" w:eastAsia="仿宋_GB2312"/>
          <w:color w:val="auto"/>
          <w:sz w:val="30"/>
          <w:szCs w:val="30"/>
          <w:lang w:val="en-US" w:eastAsia="zh-CN"/>
        </w:rPr>
        <w:t>税收减少</w:t>
      </w:r>
      <w:r>
        <w:rPr>
          <w:rFonts w:hint="eastAsia"/>
          <w:color w:val="auto"/>
          <w:sz w:val="30"/>
          <w:szCs w:val="30"/>
        </w:rPr>
        <w:t>，收入与支出减少</w:t>
      </w:r>
      <w:r>
        <w:rPr>
          <w:rFonts w:hint="eastAsia" w:ascii="仿宋_GB2312" w:eastAsia="仿宋_GB2312" w:cs="黑体"/>
          <w:color w:val="auto"/>
          <w:sz w:val="30"/>
          <w:szCs w:val="30"/>
        </w:rPr>
        <w:t>。</w:t>
      </w:r>
    </w:p>
    <w:p>
      <w:pPr>
        <w:outlineLvl w:val="0"/>
        <w:rPr>
          <w:rFonts w:ascii="楷体_GB2312" w:hAnsi="宋体" w:eastAsia="楷体_GB2312" w:cs="黑体"/>
          <w:b/>
          <w:color w:val="auto"/>
          <w:sz w:val="30"/>
          <w:szCs w:val="30"/>
          <w:highlight w:val="none"/>
        </w:rPr>
      </w:pPr>
      <w:r>
        <w:rPr>
          <w:rFonts w:hint="eastAsia" w:ascii="楷体_GB2312" w:hAnsi="宋体" w:eastAsia="楷体_GB2312" w:cs="黑体"/>
          <w:b/>
          <w:color w:val="auto"/>
          <w:sz w:val="30"/>
          <w:szCs w:val="30"/>
          <w:highlight w:val="none"/>
        </w:rPr>
        <w:t>（二）一般公共预算财政拨款支出决算结构情况</w:t>
      </w:r>
    </w:p>
    <w:p>
      <w:pPr>
        <w:ind w:firstLine="600" w:firstLineChars="200"/>
        <w:rPr>
          <w:rFonts w:ascii="仿宋_GB2312" w:hAnsi="宋体" w:eastAsia="仿宋_GB2312" w:cs="黑体"/>
          <w:color w:val="auto"/>
          <w:sz w:val="30"/>
          <w:szCs w:val="30"/>
          <w:highlight w:val="none"/>
        </w:rPr>
      </w:pPr>
      <w:r>
        <w:rPr>
          <w:rFonts w:hint="eastAsia" w:ascii="仿宋_GB2312" w:hAnsi="宋体" w:eastAsia="仿宋_GB2312" w:cs="黑体"/>
          <w:color w:val="auto"/>
          <w:sz w:val="30"/>
          <w:szCs w:val="30"/>
          <w:highlight w:val="none"/>
        </w:rPr>
        <w:t>庄河市荷花山镇人民政府</w:t>
      </w:r>
      <w:r>
        <w:rPr>
          <w:rFonts w:hint="eastAsia" w:ascii="仿宋_GB2312" w:eastAsia="仿宋_GB2312" w:cs="黑体"/>
          <w:color w:val="auto"/>
          <w:sz w:val="30"/>
          <w:szCs w:val="30"/>
          <w:highlight w:val="none"/>
          <w:lang w:eastAsia="zh-CN"/>
        </w:rPr>
        <w:t>202</w:t>
      </w:r>
      <w:r>
        <w:rPr>
          <w:rFonts w:hint="eastAsia" w:ascii="仿宋_GB2312" w:eastAsia="仿宋_GB2312" w:cs="黑体"/>
          <w:color w:val="auto"/>
          <w:sz w:val="30"/>
          <w:szCs w:val="30"/>
          <w:highlight w:val="none"/>
          <w:lang w:val="en-US" w:eastAsia="zh-CN"/>
        </w:rPr>
        <w:t>2</w:t>
      </w:r>
      <w:r>
        <w:rPr>
          <w:rFonts w:hint="eastAsia" w:ascii="仿宋_GB2312" w:eastAsia="仿宋_GB2312" w:cs="黑体"/>
          <w:color w:val="auto"/>
          <w:sz w:val="30"/>
          <w:szCs w:val="30"/>
          <w:highlight w:val="none"/>
        </w:rPr>
        <w:t>年度一般公共预算财政拨款支出</w:t>
      </w:r>
      <w:r>
        <w:rPr>
          <w:rFonts w:hint="eastAsia"/>
          <w:color w:val="auto"/>
          <w:sz w:val="30"/>
          <w:szCs w:val="30"/>
          <w:lang w:val="en-US" w:eastAsia="zh-CN"/>
        </w:rPr>
        <w:t>4581.43</w:t>
      </w:r>
      <w:r>
        <w:rPr>
          <w:rFonts w:hint="eastAsia" w:ascii="仿宋_GB2312" w:eastAsia="仿宋_GB2312" w:cs="黑体"/>
          <w:color w:val="auto"/>
          <w:sz w:val="30"/>
          <w:szCs w:val="30"/>
          <w:highlight w:val="none"/>
        </w:rPr>
        <w:t>万元，主要用于以下方面：一般公共服务支出（类）</w:t>
      </w:r>
      <w:r>
        <w:rPr>
          <w:rFonts w:hint="eastAsia" w:ascii="仿宋_GB2312" w:eastAsia="仿宋_GB2312" w:cs="黑体"/>
          <w:color w:val="auto"/>
          <w:sz w:val="30"/>
          <w:szCs w:val="30"/>
          <w:highlight w:val="none"/>
          <w:lang w:val="en-US" w:eastAsia="zh-CN"/>
        </w:rPr>
        <w:t>762.59</w:t>
      </w:r>
      <w:r>
        <w:rPr>
          <w:rFonts w:hint="eastAsia" w:ascii="仿宋_GB2312" w:eastAsia="仿宋_GB2312" w:cs="黑体"/>
          <w:color w:val="auto"/>
          <w:sz w:val="30"/>
          <w:szCs w:val="30"/>
          <w:highlight w:val="none"/>
        </w:rPr>
        <w:t>万元，占</w:t>
      </w:r>
      <w:r>
        <w:rPr>
          <w:rFonts w:hint="eastAsia" w:ascii="仿宋_GB2312" w:eastAsia="仿宋_GB2312" w:cs="黑体"/>
          <w:color w:val="auto"/>
          <w:sz w:val="30"/>
          <w:szCs w:val="30"/>
          <w:highlight w:val="none"/>
          <w:lang w:val="en-US" w:eastAsia="zh-CN"/>
        </w:rPr>
        <w:t>16.65</w:t>
      </w:r>
      <w:r>
        <w:rPr>
          <w:rFonts w:ascii="仿宋_GB2312" w:eastAsia="仿宋_GB2312" w:cs="黑体"/>
          <w:color w:val="auto"/>
          <w:sz w:val="30"/>
          <w:szCs w:val="30"/>
          <w:highlight w:val="none"/>
        </w:rPr>
        <w:t>%</w:t>
      </w:r>
      <w:r>
        <w:rPr>
          <w:rFonts w:hint="eastAsia" w:ascii="仿宋_GB2312" w:eastAsia="仿宋_GB2312" w:cs="黑体"/>
          <w:color w:val="auto"/>
          <w:sz w:val="30"/>
          <w:szCs w:val="30"/>
          <w:highlight w:val="none"/>
        </w:rPr>
        <w:t>；教育支出（类）</w:t>
      </w:r>
      <w:r>
        <w:rPr>
          <w:rFonts w:hint="eastAsia" w:ascii="仿宋_GB2312" w:eastAsia="仿宋_GB2312" w:cs="黑体"/>
          <w:color w:val="auto"/>
          <w:sz w:val="30"/>
          <w:szCs w:val="30"/>
          <w:highlight w:val="none"/>
          <w:lang w:val="en-US" w:eastAsia="zh-CN"/>
        </w:rPr>
        <w:t>24.79</w:t>
      </w:r>
      <w:r>
        <w:rPr>
          <w:rFonts w:hint="eastAsia" w:ascii="仿宋_GB2312" w:eastAsia="仿宋_GB2312" w:cs="黑体"/>
          <w:color w:val="auto"/>
          <w:sz w:val="30"/>
          <w:szCs w:val="30"/>
          <w:highlight w:val="none"/>
        </w:rPr>
        <w:t>万元，占</w:t>
      </w:r>
      <w:r>
        <w:rPr>
          <w:rFonts w:hint="eastAsia" w:ascii="仿宋_GB2312" w:eastAsia="仿宋_GB2312" w:cs="黑体"/>
          <w:color w:val="auto"/>
          <w:sz w:val="30"/>
          <w:szCs w:val="30"/>
          <w:highlight w:val="none"/>
          <w:lang w:val="en-US" w:eastAsia="zh-CN"/>
        </w:rPr>
        <w:t>0.54</w:t>
      </w:r>
      <w:r>
        <w:rPr>
          <w:rFonts w:ascii="仿宋_GB2312" w:eastAsia="仿宋_GB2312" w:cs="黑体"/>
          <w:color w:val="auto"/>
          <w:sz w:val="30"/>
          <w:szCs w:val="30"/>
          <w:highlight w:val="none"/>
        </w:rPr>
        <w:t>%</w:t>
      </w:r>
      <w:r>
        <w:rPr>
          <w:rFonts w:hint="eastAsia" w:ascii="仿宋_GB2312" w:eastAsia="仿宋_GB2312" w:cs="黑体"/>
          <w:color w:val="auto"/>
          <w:sz w:val="30"/>
          <w:szCs w:val="30"/>
          <w:highlight w:val="none"/>
        </w:rPr>
        <w:t>；文化体育与传媒支出（类）</w:t>
      </w:r>
      <w:r>
        <w:rPr>
          <w:rFonts w:hint="eastAsia" w:ascii="仿宋_GB2312" w:eastAsia="仿宋_GB2312" w:cs="黑体"/>
          <w:color w:val="auto"/>
          <w:sz w:val="30"/>
          <w:szCs w:val="30"/>
          <w:highlight w:val="none"/>
          <w:lang w:val="en-US" w:eastAsia="zh-CN"/>
        </w:rPr>
        <w:t>9.41</w:t>
      </w:r>
      <w:r>
        <w:rPr>
          <w:rFonts w:hint="eastAsia" w:ascii="仿宋_GB2312" w:eastAsia="仿宋_GB2312" w:cs="黑体"/>
          <w:color w:val="auto"/>
          <w:sz w:val="30"/>
          <w:szCs w:val="30"/>
          <w:highlight w:val="none"/>
        </w:rPr>
        <w:t>万元，占</w:t>
      </w:r>
      <w:r>
        <w:rPr>
          <w:rFonts w:hint="eastAsia" w:ascii="仿宋_GB2312" w:eastAsia="仿宋_GB2312" w:cs="黑体"/>
          <w:color w:val="auto"/>
          <w:sz w:val="30"/>
          <w:szCs w:val="30"/>
          <w:highlight w:val="none"/>
          <w:lang w:val="en-US" w:eastAsia="zh-CN"/>
        </w:rPr>
        <w:t>0.21</w:t>
      </w:r>
      <w:r>
        <w:rPr>
          <w:rFonts w:ascii="仿宋_GB2312" w:eastAsia="仿宋_GB2312" w:cs="黑体"/>
          <w:color w:val="auto"/>
          <w:sz w:val="30"/>
          <w:szCs w:val="30"/>
          <w:highlight w:val="none"/>
        </w:rPr>
        <w:t>%</w:t>
      </w:r>
      <w:r>
        <w:rPr>
          <w:rFonts w:hint="eastAsia" w:ascii="仿宋_GB2312" w:eastAsia="仿宋_GB2312" w:cs="黑体"/>
          <w:color w:val="auto"/>
          <w:sz w:val="30"/>
          <w:szCs w:val="30"/>
          <w:highlight w:val="none"/>
        </w:rPr>
        <w:t>；社会保障和就业支出（类）</w:t>
      </w:r>
      <w:r>
        <w:rPr>
          <w:rFonts w:hint="eastAsia" w:ascii="仿宋_GB2312" w:eastAsia="仿宋_GB2312" w:cs="黑体"/>
          <w:color w:val="auto"/>
          <w:sz w:val="30"/>
          <w:szCs w:val="30"/>
          <w:highlight w:val="none"/>
          <w:lang w:val="en-US" w:eastAsia="zh-CN"/>
        </w:rPr>
        <w:t>284.32</w:t>
      </w:r>
      <w:r>
        <w:rPr>
          <w:rFonts w:hint="eastAsia" w:ascii="仿宋_GB2312" w:eastAsia="仿宋_GB2312" w:cs="黑体"/>
          <w:color w:val="auto"/>
          <w:sz w:val="30"/>
          <w:szCs w:val="30"/>
          <w:highlight w:val="none"/>
        </w:rPr>
        <w:t>万元，占</w:t>
      </w:r>
      <w:r>
        <w:rPr>
          <w:rFonts w:hint="eastAsia" w:ascii="仿宋_GB2312" w:eastAsia="仿宋_GB2312" w:cs="黑体"/>
          <w:color w:val="auto"/>
          <w:sz w:val="30"/>
          <w:szCs w:val="30"/>
          <w:highlight w:val="none"/>
          <w:lang w:val="en-US" w:eastAsia="zh-CN"/>
        </w:rPr>
        <w:t>6.21</w:t>
      </w:r>
      <w:r>
        <w:rPr>
          <w:rFonts w:ascii="仿宋_GB2312" w:eastAsia="仿宋_GB2312" w:cs="黑体"/>
          <w:color w:val="auto"/>
          <w:sz w:val="30"/>
          <w:szCs w:val="30"/>
          <w:highlight w:val="none"/>
        </w:rPr>
        <w:t>%</w:t>
      </w:r>
      <w:r>
        <w:rPr>
          <w:rFonts w:hint="eastAsia" w:ascii="仿宋_GB2312" w:eastAsia="仿宋_GB2312" w:cs="黑体"/>
          <w:color w:val="auto"/>
          <w:sz w:val="30"/>
          <w:szCs w:val="30"/>
          <w:highlight w:val="none"/>
        </w:rPr>
        <w:t>；卫生健康支出（类）</w:t>
      </w:r>
      <w:r>
        <w:rPr>
          <w:rFonts w:hint="eastAsia" w:ascii="仿宋_GB2312" w:eastAsia="仿宋_GB2312" w:cs="黑体"/>
          <w:color w:val="auto"/>
          <w:sz w:val="30"/>
          <w:szCs w:val="30"/>
          <w:highlight w:val="none"/>
          <w:lang w:val="en-US" w:eastAsia="zh-CN"/>
        </w:rPr>
        <w:t>124.2</w:t>
      </w:r>
      <w:r>
        <w:rPr>
          <w:rFonts w:hint="eastAsia" w:ascii="仿宋_GB2312" w:eastAsia="仿宋_GB2312" w:cs="黑体"/>
          <w:color w:val="auto"/>
          <w:sz w:val="30"/>
          <w:szCs w:val="30"/>
          <w:highlight w:val="none"/>
        </w:rPr>
        <w:t>万元，占</w:t>
      </w:r>
      <w:r>
        <w:rPr>
          <w:rFonts w:hint="eastAsia" w:ascii="仿宋_GB2312" w:eastAsia="仿宋_GB2312" w:cs="黑体"/>
          <w:color w:val="auto"/>
          <w:sz w:val="30"/>
          <w:szCs w:val="30"/>
          <w:highlight w:val="none"/>
          <w:lang w:val="en-US" w:eastAsia="zh-CN"/>
        </w:rPr>
        <w:t>2.71</w:t>
      </w:r>
      <w:r>
        <w:rPr>
          <w:rFonts w:ascii="仿宋_GB2312" w:eastAsia="仿宋_GB2312" w:cs="黑体"/>
          <w:color w:val="auto"/>
          <w:sz w:val="30"/>
          <w:szCs w:val="30"/>
          <w:highlight w:val="none"/>
        </w:rPr>
        <w:t>%</w:t>
      </w:r>
      <w:r>
        <w:rPr>
          <w:rFonts w:hint="eastAsia" w:ascii="仿宋_GB2312" w:eastAsia="仿宋_GB2312" w:cs="黑体"/>
          <w:color w:val="auto"/>
          <w:sz w:val="30"/>
          <w:szCs w:val="30"/>
          <w:highlight w:val="none"/>
        </w:rPr>
        <w:t>；城乡社区支出（类）</w:t>
      </w:r>
      <w:r>
        <w:rPr>
          <w:rFonts w:hint="eastAsia" w:ascii="仿宋_GB2312" w:eastAsia="仿宋_GB2312" w:cs="黑体"/>
          <w:color w:val="auto"/>
          <w:sz w:val="30"/>
          <w:szCs w:val="30"/>
          <w:highlight w:val="none"/>
          <w:lang w:val="en-US" w:eastAsia="zh-CN"/>
        </w:rPr>
        <w:t>150.71</w:t>
      </w:r>
      <w:r>
        <w:rPr>
          <w:rFonts w:hint="eastAsia" w:ascii="仿宋_GB2312" w:eastAsia="仿宋_GB2312" w:cs="黑体"/>
          <w:color w:val="auto"/>
          <w:sz w:val="30"/>
          <w:szCs w:val="30"/>
          <w:highlight w:val="none"/>
        </w:rPr>
        <w:t>万元，占</w:t>
      </w:r>
      <w:r>
        <w:rPr>
          <w:rFonts w:hint="eastAsia" w:ascii="仿宋_GB2312" w:eastAsia="仿宋_GB2312" w:cs="黑体"/>
          <w:color w:val="auto"/>
          <w:sz w:val="30"/>
          <w:szCs w:val="30"/>
          <w:highlight w:val="none"/>
          <w:lang w:val="en-US" w:eastAsia="zh-CN"/>
        </w:rPr>
        <w:t>3.29</w:t>
      </w:r>
      <w:r>
        <w:rPr>
          <w:rFonts w:ascii="仿宋_GB2312" w:eastAsia="仿宋_GB2312" w:cs="黑体"/>
          <w:color w:val="auto"/>
          <w:sz w:val="30"/>
          <w:szCs w:val="30"/>
          <w:highlight w:val="none"/>
        </w:rPr>
        <w:t>%</w:t>
      </w:r>
      <w:r>
        <w:rPr>
          <w:rFonts w:hint="eastAsia" w:ascii="仿宋_GB2312" w:eastAsia="仿宋_GB2312" w:cs="黑体"/>
          <w:color w:val="auto"/>
          <w:sz w:val="30"/>
          <w:szCs w:val="30"/>
          <w:highlight w:val="none"/>
        </w:rPr>
        <w:t>；农林水支出（类）</w:t>
      </w:r>
      <w:r>
        <w:rPr>
          <w:rFonts w:hint="eastAsia" w:ascii="仿宋_GB2312" w:eastAsia="仿宋_GB2312" w:cs="黑体"/>
          <w:color w:val="auto"/>
          <w:sz w:val="30"/>
          <w:szCs w:val="30"/>
          <w:highlight w:val="none"/>
          <w:lang w:val="en-US" w:eastAsia="zh-CN"/>
        </w:rPr>
        <w:t>439.47</w:t>
      </w:r>
      <w:r>
        <w:rPr>
          <w:rFonts w:hint="eastAsia" w:ascii="仿宋_GB2312" w:eastAsia="仿宋_GB2312" w:cs="黑体"/>
          <w:color w:val="auto"/>
          <w:sz w:val="30"/>
          <w:szCs w:val="30"/>
          <w:highlight w:val="none"/>
        </w:rPr>
        <w:t>万元，占</w:t>
      </w:r>
      <w:r>
        <w:rPr>
          <w:rFonts w:hint="eastAsia" w:ascii="仿宋_GB2312" w:eastAsia="仿宋_GB2312" w:cs="黑体"/>
          <w:color w:val="auto"/>
          <w:sz w:val="30"/>
          <w:szCs w:val="30"/>
          <w:highlight w:val="none"/>
          <w:lang w:val="en-US" w:eastAsia="zh-CN"/>
        </w:rPr>
        <w:t>9.59</w:t>
      </w:r>
      <w:r>
        <w:rPr>
          <w:rFonts w:ascii="仿宋_GB2312" w:eastAsia="仿宋_GB2312" w:cs="黑体"/>
          <w:color w:val="auto"/>
          <w:sz w:val="30"/>
          <w:szCs w:val="30"/>
          <w:highlight w:val="none"/>
        </w:rPr>
        <w:t>%</w:t>
      </w:r>
      <w:r>
        <w:rPr>
          <w:rFonts w:hint="eastAsia" w:ascii="仿宋_GB2312" w:eastAsia="仿宋_GB2312" w:cs="黑体"/>
          <w:color w:val="auto"/>
          <w:sz w:val="30"/>
          <w:szCs w:val="30"/>
          <w:highlight w:val="none"/>
        </w:rPr>
        <w:t>；交通运输支出（类）</w:t>
      </w:r>
      <w:r>
        <w:rPr>
          <w:rFonts w:hint="eastAsia" w:ascii="仿宋_GB2312" w:eastAsia="仿宋_GB2312" w:cs="黑体"/>
          <w:color w:val="auto"/>
          <w:sz w:val="30"/>
          <w:szCs w:val="30"/>
          <w:highlight w:val="none"/>
          <w:lang w:val="en-US" w:eastAsia="zh-CN"/>
        </w:rPr>
        <w:t>60.73</w:t>
      </w:r>
      <w:r>
        <w:rPr>
          <w:rFonts w:hint="eastAsia" w:ascii="仿宋_GB2312" w:eastAsia="仿宋_GB2312" w:cs="黑体"/>
          <w:color w:val="auto"/>
          <w:sz w:val="30"/>
          <w:szCs w:val="30"/>
          <w:highlight w:val="none"/>
        </w:rPr>
        <w:t>万元，占</w:t>
      </w:r>
      <w:r>
        <w:rPr>
          <w:rFonts w:hint="eastAsia" w:ascii="仿宋_GB2312" w:eastAsia="仿宋_GB2312" w:cs="黑体"/>
          <w:color w:val="auto"/>
          <w:sz w:val="30"/>
          <w:szCs w:val="30"/>
          <w:highlight w:val="none"/>
          <w:lang w:val="en-US" w:eastAsia="zh-CN"/>
        </w:rPr>
        <w:t>1.33</w:t>
      </w:r>
      <w:r>
        <w:rPr>
          <w:rFonts w:ascii="仿宋_GB2312" w:eastAsia="仿宋_GB2312" w:cs="黑体"/>
          <w:color w:val="auto"/>
          <w:sz w:val="30"/>
          <w:szCs w:val="30"/>
          <w:highlight w:val="none"/>
        </w:rPr>
        <w:t>%</w:t>
      </w:r>
      <w:r>
        <w:rPr>
          <w:rFonts w:hint="eastAsia" w:ascii="仿宋_GB2312" w:eastAsia="仿宋_GB2312" w:cs="黑体"/>
          <w:color w:val="auto"/>
          <w:sz w:val="30"/>
          <w:szCs w:val="30"/>
          <w:highlight w:val="none"/>
        </w:rPr>
        <w:t>；资源勘探信息等支出（类）</w:t>
      </w:r>
      <w:r>
        <w:rPr>
          <w:rFonts w:hint="eastAsia" w:ascii="仿宋_GB2312" w:eastAsia="仿宋_GB2312" w:cs="黑体"/>
          <w:color w:val="auto"/>
          <w:sz w:val="30"/>
          <w:szCs w:val="30"/>
          <w:highlight w:val="none"/>
          <w:lang w:val="en-US" w:eastAsia="zh-CN"/>
        </w:rPr>
        <w:t>2631.05</w:t>
      </w:r>
      <w:r>
        <w:rPr>
          <w:rFonts w:hint="eastAsia" w:ascii="仿宋_GB2312" w:eastAsia="仿宋_GB2312" w:cs="黑体"/>
          <w:color w:val="auto"/>
          <w:sz w:val="30"/>
          <w:szCs w:val="30"/>
          <w:highlight w:val="none"/>
        </w:rPr>
        <w:t>万元，占</w:t>
      </w:r>
      <w:r>
        <w:rPr>
          <w:rFonts w:hint="eastAsia" w:ascii="仿宋_GB2312" w:eastAsia="仿宋_GB2312" w:cs="黑体"/>
          <w:color w:val="auto"/>
          <w:sz w:val="30"/>
          <w:szCs w:val="30"/>
          <w:highlight w:val="none"/>
          <w:lang w:val="en-US" w:eastAsia="zh-CN"/>
        </w:rPr>
        <w:t>57.43</w:t>
      </w:r>
      <w:r>
        <w:rPr>
          <w:rFonts w:ascii="仿宋_GB2312" w:eastAsia="仿宋_GB2312" w:cs="黑体"/>
          <w:color w:val="auto"/>
          <w:sz w:val="30"/>
          <w:szCs w:val="30"/>
          <w:highlight w:val="none"/>
        </w:rPr>
        <w:t>%</w:t>
      </w:r>
      <w:r>
        <w:rPr>
          <w:rFonts w:hint="eastAsia" w:ascii="仿宋_GB2312" w:eastAsia="仿宋_GB2312" w:cs="黑体"/>
          <w:color w:val="auto"/>
          <w:sz w:val="30"/>
          <w:szCs w:val="30"/>
          <w:highlight w:val="none"/>
        </w:rPr>
        <w:t>；住房保障支出（类）</w:t>
      </w:r>
      <w:r>
        <w:rPr>
          <w:rFonts w:hint="eastAsia" w:ascii="仿宋_GB2312" w:eastAsia="仿宋_GB2312" w:cs="黑体"/>
          <w:color w:val="auto"/>
          <w:sz w:val="30"/>
          <w:szCs w:val="30"/>
          <w:highlight w:val="none"/>
          <w:lang w:val="en-US" w:eastAsia="zh-CN"/>
        </w:rPr>
        <w:t>94.16</w:t>
      </w:r>
      <w:r>
        <w:rPr>
          <w:rFonts w:hint="eastAsia" w:ascii="仿宋_GB2312" w:eastAsia="仿宋_GB2312" w:cs="黑体"/>
          <w:color w:val="auto"/>
          <w:sz w:val="30"/>
          <w:szCs w:val="30"/>
          <w:highlight w:val="none"/>
        </w:rPr>
        <w:t>万元，占</w:t>
      </w:r>
      <w:r>
        <w:rPr>
          <w:rFonts w:hint="eastAsia" w:ascii="仿宋_GB2312" w:eastAsia="仿宋_GB2312" w:cs="黑体"/>
          <w:color w:val="auto"/>
          <w:sz w:val="30"/>
          <w:szCs w:val="30"/>
          <w:highlight w:val="none"/>
          <w:lang w:val="en-US" w:eastAsia="zh-CN"/>
        </w:rPr>
        <w:t>2.06</w:t>
      </w:r>
      <w:r>
        <w:rPr>
          <w:rFonts w:ascii="仿宋_GB2312" w:eastAsia="仿宋_GB2312" w:cs="黑体"/>
          <w:color w:val="auto"/>
          <w:sz w:val="30"/>
          <w:szCs w:val="30"/>
          <w:highlight w:val="none"/>
        </w:rPr>
        <w:t>%</w:t>
      </w:r>
      <w:r>
        <w:rPr>
          <w:rFonts w:hint="eastAsia" w:ascii="仿宋_GB2312" w:eastAsia="仿宋_GB2312" w:cs="黑体"/>
          <w:color w:val="auto"/>
          <w:sz w:val="30"/>
          <w:szCs w:val="30"/>
          <w:highlight w:val="none"/>
        </w:rPr>
        <w:t>。</w:t>
      </w:r>
    </w:p>
    <w:p>
      <w:pPr>
        <w:outlineLvl w:val="0"/>
        <w:rPr>
          <w:rFonts w:ascii="楷体_GB2312" w:hAnsi="宋体" w:eastAsia="楷体_GB2312" w:cs="黑体"/>
          <w:b/>
          <w:color w:val="auto"/>
          <w:sz w:val="30"/>
          <w:szCs w:val="30"/>
          <w:highlight w:val="none"/>
        </w:rPr>
      </w:pPr>
      <w:r>
        <w:rPr>
          <w:rFonts w:hint="eastAsia" w:ascii="楷体_GB2312" w:hAnsi="宋体" w:eastAsia="楷体_GB2312" w:cs="黑体"/>
          <w:b/>
          <w:color w:val="auto"/>
          <w:sz w:val="30"/>
          <w:szCs w:val="30"/>
          <w:highlight w:val="none"/>
        </w:rPr>
        <w:t>（三）一般公共预算财政拨款支出决算具体情况</w:t>
      </w:r>
    </w:p>
    <w:p>
      <w:pPr>
        <w:ind w:firstLine="600" w:firstLineChars="200"/>
        <w:rPr>
          <w:rFonts w:hint="default" w:ascii="仿宋_GB2312" w:eastAsia="仿宋_GB2312" w:cs="黑体"/>
          <w:color w:val="auto"/>
          <w:sz w:val="30"/>
          <w:szCs w:val="30"/>
          <w:lang w:val="en-US" w:eastAsia="zh-CN"/>
        </w:rPr>
      </w:pPr>
      <w:r>
        <w:rPr>
          <w:rFonts w:hint="eastAsia" w:ascii="仿宋_GB2312" w:hAnsi="宋体" w:eastAsia="仿宋_GB2312" w:cs="黑体"/>
          <w:color w:val="auto"/>
          <w:sz w:val="30"/>
          <w:szCs w:val="30"/>
          <w:highlight w:val="none"/>
        </w:rPr>
        <w:t>庄河市人民政府荷花山镇人民政府</w:t>
      </w:r>
      <w:r>
        <w:rPr>
          <w:rFonts w:hint="eastAsia" w:ascii="仿宋_GB2312" w:eastAsia="仿宋_GB2312" w:cs="黑体"/>
          <w:color w:val="auto"/>
          <w:sz w:val="30"/>
          <w:szCs w:val="30"/>
          <w:highlight w:val="none"/>
          <w:lang w:eastAsia="zh-CN"/>
        </w:rPr>
        <w:t>202</w:t>
      </w:r>
      <w:r>
        <w:rPr>
          <w:rFonts w:hint="eastAsia" w:ascii="仿宋_GB2312" w:eastAsia="仿宋_GB2312" w:cs="黑体"/>
          <w:color w:val="auto"/>
          <w:sz w:val="30"/>
          <w:szCs w:val="30"/>
          <w:highlight w:val="none"/>
          <w:lang w:val="en-US" w:eastAsia="zh-CN"/>
        </w:rPr>
        <w:t>2</w:t>
      </w:r>
      <w:r>
        <w:rPr>
          <w:rFonts w:hint="eastAsia" w:ascii="仿宋_GB2312" w:eastAsia="仿宋_GB2312" w:cs="黑体"/>
          <w:color w:val="auto"/>
          <w:sz w:val="30"/>
          <w:szCs w:val="30"/>
          <w:highlight w:val="none"/>
        </w:rPr>
        <w:t>年度一般公共预算财政拨款支出年初预算为</w:t>
      </w:r>
      <w:r>
        <w:rPr>
          <w:rFonts w:hint="eastAsia" w:ascii="仿宋_GB2312" w:eastAsia="仿宋_GB2312" w:cs="黑体"/>
          <w:color w:val="auto"/>
          <w:sz w:val="30"/>
          <w:szCs w:val="30"/>
          <w:highlight w:val="none"/>
          <w:lang w:val="en-US" w:eastAsia="zh-CN"/>
        </w:rPr>
        <w:t>4479.1</w:t>
      </w:r>
      <w:r>
        <w:rPr>
          <w:rFonts w:hint="eastAsia" w:ascii="仿宋_GB2312" w:eastAsia="仿宋_GB2312" w:cs="黑体"/>
          <w:color w:val="auto"/>
          <w:sz w:val="30"/>
          <w:szCs w:val="30"/>
          <w:highlight w:val="none"/>
        </w:rPr>
        <w:t>万元，支出</w:t>
      </w:r>
      <w:r>
        <w:rPr>
          <w:rFonts w:hint="eastAsia" w:ascii="仿宋_GB2312" w:eastAsia="仿宋_GB2312" w:cs="黑体"/>
          <w:color w:val="auto"/>
          <w:sz w:val="30"/>
          <w:szCs w:val="30"/>
        </w:rPr>
        <w:t>决算为</w:t>
      </w:r>
      <w:r>
        <w:rPr>
          <w:rFonts w:hint="eastAsia"/>
          <w:color w:val="auto"/>
          <w:sz w:val="30"/>
          <w:szCs w:val="30"/>
          <w:lang w:val="en-US" w:eastAsia="zh-CN"/>
        </w:rPr>
        <w:t>4581.43</w:t>
      </w:r>
      <w:r>
        <w:rPr>
          <w:rFonts w:hint="eastAsia" w:ascii="仿宋_GB2312" w:eastAsia="仿宋_GB2312" w:cs="黑体"/>
          <w:color w:val="auto"/>
          <w:sz w:val="30"/>
          <w:szCs w:val="30"/>
        </w:rPr>
        <w:t>万元，完成年初预算的</w:t>
      </w:r>
      <w:r>
        <w:rPr>
          <w:rFonts w:hint="eastAsia" w:ascii="仿宋_GB2312" w:eastAsia="仿宋_GB2312" w:cs="黑体"/>
          <w:color w:val="auto"/>
          <w:sz w:val="30"/>
          <w:szCs w:val="30"/>
          <w:lang w:val="en-US" w:eastAsia="zh-CN"/>
        </w:rPr>
        <w:t>102.3</w:t>
      </w:r>
      <w:r>
        <w:rPr>
          <w:rFonts w:ascii="仿宋_GB2312" w:eastAsia="仿宋_GB2312" w:cs="黑体"/>
          <w:color w:val="auto"/>
          <w:sz w:val="30"/>
          <w:szCs w:val="30"/>
        </w:rPr>
        <w:t>%</w:t>
      </w:r>
      <w:r>
        <w:rPr>
          <w:rFonts w:hint="eastAsia" w:ascii="仿宋_GB2312" w:eastAsia="仿宋_GB2312" w:cs="黑体"/>
          <w:color w:val="auto"/>
          <w:sz w:val="30"/>
          <w:szCs w:val="30"/>
        </w:rPr>
        <w:t>。</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六、关于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2</w:t>
      </w:r>
      <w:r>
        <w:rPr>
          <w:rFonts w:hint="eastAsia" w:ascii="楷体_GB2312" w:eastAsia="楷体_GB2312" w:cs="黑体"/>
          <w:b/>
          <w:color w:val="auto"/>
          <w:sz w:val="30"/>
          <w:szCs w:val="30"/>
        </w:rPr>
        <w:t>年度一般公共预算财政拨款基本支出决算情况说明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年度一般公共预算财政拨款基本支出</w:t>
      </w:r>
      <w:r>
        <w:rPr>
          <w:rFonts w:hint="eastAsia" w:ascii="仿宋_GB2312" w:eastAsia="仿宋_GB2312" w:cs="黑体"/>
          <w:color w:val="auto"/>
          <w:sz w:val="30"/>
          <w:szCs w:val="30"/>
          <w:lang w:val="en-US" w:eastAsia="zh-CN"/>
        </w:rPr>
        <w:t>913.07</w:t>
      </w:r>
      <w:r>
        <w:rPr>
          <w:rFonts w:hint="eastAsia" w:ascii="仿宋_GB2312" w:eastAsia="仿宋_GB2312" w:cs="黑体"/>
          <w:color w:val="auto"/>
          <w:sz w:val="30"/>
          <w:szCs w:val="30"/>
        </w:rPr>
        <w:t>万元，包括人员经费</w:t>
      </w:r>
      <w:r>
        <w:rPr>
          <w:rFonts w:hint="eastAsia" w:ascii="仿宋_GB2312" w:eastAsia="仿宋_GB2312" w:cs="黑体"/>
          <w:color w:val="auto"/>
          <w:sz w:val="30"/>
          <w:szCs w:val="30"/>
          <w:lang w:val="en-US" w:eastAsia="zh-CN"/>
        </w:rPr>
        <w:t>738.58</w:t>
      </w:r>
      <w:r>
        <w:rPr>
          <w:rFonts w:hint="eastAsia" w:ascii="仿宋_GB2312" w:eastAsia="仿宋_GB2312" w:cs="黑体"/>
          <w:color w:val="auto"/>
          <w:sz w:val="30"/>
          <w:szCs w:val="30"/>
        </w:rPr>
        <w:t>万元，公用经费</w:t>
      </w:r>
      <w:r>
        <w:rPr>
          <w:rFonts w:hint="eastAsia" w:ascii="仿宋_GB2312" w:eastAsia="仿宋_GB2312" w:cs="黑体"/>
          <w:color w:val="auto"/>
          <w:sz w:val="30"/>
          <w:szCs w:val="30"/>
          <w:lang w:val="en-US" w:eastAsia="zh-CN"/>
        </w:rPr>
        <w:t>174.49</w:t>
      </w:r>
      <w:r>
        <w:rPr>
          <w:rFonts w:hint="eastAsia" w:ascii="仿宋_GB2312" w:eastAsia="仿宋_GB2312" w:cs="黑体"/>
          <w:color w:val="auto"/>
          <w:sz w:val="30"/>
          <w:szCs w:val="30"/>
        </w:rPr>
        <w:t>万元。基本支出中：</w:t>
      </w:r>
    </w:p>
    <w:p>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1</w:t>
      </w:r>
      <w:r>
        <w:rPr>
          <w:rFonts w:hint="eastAsia" w:ascii="仿宋_GB2312" w:eastAsia="仿宋_GB2312" w:cs="黑体"/>
          <w:color w:val="auto"/>
          <w:sz w:val="30"/>
          <w:szCs w:val="30"/>
        </w:rPr>
        <w:t>、工资福利支出</w:t>
      </w:r>
      <w:r>
        <w:rPr>
          <w:rFonts w:hint="eastAsia" w:ascii="仿宋_GB2312" w:eastAsia="仿宋_GB2312" w:cs="黑体"/>
          <w:color w:val="auto"/>
          <w:sz w:val="30"/>
          <w:szCs w:val="30"/>
          <w:lang w:val="en-US" w:eastAsia="zh-CN"/>
        </w:rPr>
        <w:t>707.13</w:t>
      </w:r>
      <w:r>
        <w:rPr>
          <w:rFonts w:hint="eastAsia" w:ascii="仿宋_GB2312" w:eastAsia="仿宋_GB2312" w:cs="黑体"/>
          <w:color w:val="auto"/>
          <w:sz w:val="30"/>
          <w:szCs w:val="30"/>
        </w:rPr>
        <w:t>万元，主要用于：基本工资、津贴补贴、奖金、绩效、机关事业单位基本养老保险费、职业年金、职工基本医疗保险缴费、公务员医疗补助缴费、其他社会保障缴费、住房公积金、其他工资福利支出。</w:t>
      </w:r>
    </w:p>
    <w:p>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2</w:t>
      </w:r>
      <w:r>
        <w:rPr>
          <w:rFonts w:hint="eastAsia" w:ascii="仿宋_GB2312" w:eastAsia="仿宋_GB2312" w:cs="黑体"/>
          <w:color w:val="auto"/>
          <w:sz w:val="30"/>
          <w:szCs w:val="30"/>
        </w:rPr>
        <w:t>、商品和服务支出</w:t>
      </w:r>
      <w:r>
        <w:rPr>
          <w:rFonts w:hint="eastAsia" w:ascii="仿宋_GB2312" w:eastAsia="仿宋_GB2312" w:cs="黑体"/>
          <w:color w:val="auto"/>
          <w:sz w:val="30"/>
          <w:szCs w:val="30"/>
          <w:lang w:val="en-US" w:eastAsia="zh-CN"/>
        </w:rPr>
        <w:t>174.49</w:t>
      </w:r>
      <w:r>
        <w:rPr>
          <w:rFonts w:hint="eastAsia" w:ascii="仿宋_GB2312" w:eastAsia="仿宋_GB2312" w:cs="黑体"/>
          <w:color w:val="auto"/>
          <w:sz w:val="30"/>
          <w:szCs w:val="30"/>
        </w:rPr>
        <w:t>万元，主要用于：办公费、手续费、印刷费、水费、电费、邮电费、取暖费、差旅费、维修（护）费、公务接待费、劳务费、工会经费、公务用车运行维护费、其他交通费用、其他商品和服务支出。</w:t>
      </w:r>
    </w:p>
    <w:p>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3</w:t>
      </w:r>
      <w:r>
        <w:rPr>
          <w:rFonts w:hint="eastAsia" w:ascii="仿宋_GB2312" w:eastAsia="仿宋_GB2312" w:cs="黑体"/>
          <w:color w:val="auto"/>
          <w:sz w:val="30"/>
          <w:szCs w:val="30"/>
        </w:rPr>
        <w:t>、对个人和家庭的补助支出</w:t>
      </w:r>
      <w:r>
        <w:rPr>
          <w:rFonts w:hint="eastAsia" w:ascii="仿宋_GB2312" w:eastAsia="仿宋_GB2312" w:cs="黑体"/>
          <w:color w:val="auto"/>
          <w:sz w:val="30"/>
          <w:szCs w:val="30"/>
          <w:lang w:val="en-US" w:eastAsia="zh-CN"/>
        </w:rPr>
        <w:t>31.45</w:t>
      </w:r>
      <w:r>
        <w:rPr>
          <w:rFonts w:hint="eastAsia" w:ascii="仿宋_GB2312" w:eastAsia="仿宋_GB2312" w:cs="黑体"/>
          <w:color w:val="auto"/>
          <w:sz w:val="30"/>
          <w:szCs w:val="30"/>
        </w:rPr>
        <w:t>万元，主要用于：离休费、生活补助、其他农业生产补助。</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七、关于庄河市人民政府荷花山镇人民政府</w:t>
      </w:r>
      <w:r>
        <w:rPr>
          <w:rFonts w:hint="eastAsia" w:ascii="楷体_GB2312" w:eastAsia="楷体_GB2312" w:cs="黑体"/>
          <w:b/>
          <w:color w:val="auto"/>
          <w:sz w:val="30"/>
          <w:szCs w:val="30"/>
          <w:lang w:eastAsia="zh-CN"/>
        </w:rPr>
        <w:t>202</w:t>
      </w:r>
      <w:r>
        <w:rPr>
          <w:rFonts w:hint="eastAsia" w:ascii="楷体_GB2312" w:eastAsia="楷体_GB2312" w:cs="黑体"/>
          <w:b/>
          <w:color w:val="auto"/>
          <w:sz w:val="30"/>
          <w:szCs w:val="30"/>
          <w:lang w:val="en-US" w:eastAsia="zh-CN"/>
        </w:rPr>
        <w:t>2</w:t>
      </w:r>
      <w:r>
        <w:rPr>
          <w:rFonts w:hint="eastAsia" w:ascii="楷体_GB2312" w:eastAsia="楷体_GB2312" w:cs="黑体"/>
          <w:b/>
          <w:color w:val="auto"/>
          <w:sz w:val="30"/>
          <w:szCs w:val="30"/>
        </w:rPr>
        <w:t>年度一般公共预算财政拨款“三公”经费支出决算情况说明</w:t>
      </w:r>
    </w:p>
    <w:p>
      <w:pPr>
        <w:outlineLvl w:val="0"/>
        <w:rPr>
          <w:rFonts w:hint="eastAsia" w:ascii="楷体_GB2312" w:eastAsia="楷体_GB2312" w:cs="黑体"/>
          <w:b/>
          <w:color w:val="auto"/>
          <w:sz w:val="30"/>
          <w:szCs w:val="30"/>
        </w:rPr>
      </w:pPr>
      <w:r>
        <w:rPr>
          <w:rFonts w:hint="eastAsia" w:ascii="楷体_GB2312" w:hAnsi="宋体" w:eastAsia="楷体_GB2312" w:cs="黑体"/>
          <w:b/>
          <w:color w:val="auto"/>
          <w:sz w:val="30"/>
          <w:szCs w:val="30"/>
        </w:rPr>
        <w:t>（一）</w:t>
      </w:r>
      <w:r>
        <w:rPr>
          <w:rFonts w:hint="eastAsia" w:ascii="楷体_GB2312" w:eastAsia="楷体_GB2312" w:cs="黑体"/>
          <w:b/>
          <w:color w:val="auto"/>
          <w:sz w:val="30"/>
          <w:szCs w:val="30"/>
        </w:rPr>
        <w:t>“三公”经费财政拨款支出决算总体情况说明。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年度“三公”经费财政拨款支出年初预算为</w:t>
      </w:r>
      <w:r>
        <w:rPr>
          <w:rFonts w:hint="eastAsia" w:ascii="仿宋_GB2312" w:eastAsia="仿宋_GB2312" w:cs="黑体"/>
          <w:color w:val="auto"/>
          <w:sz w:val="30"/>
          <w:szCs w:val="30"/>
          <w:lang w:val="en-US" w:eastAsia="zh-CN"/>
        </w:rPr>
        <w:t>14</w:t>
      </w:r>
      <w:r>
        <w:rPr>
          <w:rFonts w:hint="eastAsia" w:ascii="仿宋_GB2312" w:eastAsia="仿宋_GB2312" w:cs="黑体"/>
          <w:color w:val="auto"/>
          <w:sz w:val="30"/>
          <w:szCs w:val="30"/>
        </w:rPr>
        <w:t>万元，支出决算为</w:t>
      </w:r>
      <w:r>
        <w:rPr>
          <w:rFonts w:hint="eastAsia" w:ascii="仿宋_GB2312" w:eastAsia="仿宋_GB2312" w:cs="黑体"/>
          <w:color w:val="auto"/>
          <w:sz w:val="30"/>
          <w:szCs w:val="30"/>
          <w:lang w:val="en-US" w:eastAsia="zh-CN"/>
        </w:rPr>
        <w:t>14.77</w:t>
      </w:r>
      <w:r>
        <w:rPr>
          <w:rFonts w:hint="eastAsia" w:ascii="仿宋_GB2312" w:eastAsia="仿宋_GB2312" w:cs="黑体"/>
          <w:color w:val="auto"/>
          <w:sz w:val="30"/>
          <w:szCs w:val="30"/>
        </w:rPr>
        <w:t>万元，完成预算的</w:t>
      </w:r>
      <w:r>
        <w:rPr>
          <w:rFonts w:hint="eastAsia" w:ascii="仿宋_GB2312" w:eastAsia="仿宋_GB2312" w:cs="黑体"/>
          <w:color w:val="auto"/>
          <w:sz w:val="30"/>
          <w:szCs w:val="30"/>
          <w:lang w:val="en-US" w:eastAsia="zh-CN"/>
        </w:rPr>
        <w:t>105.5</w:t>
      </w:r>
      <w:r>
        <w:rPr>
          <w:rFonts w:ascii="仿宋_GB2312" w:eastAsia="仿宋_GB2312" w:cs="黑体"/>
          <w:color w:val="auto"/>
          <w:sz w:val="30"/>
          <w:szCs w:val="30"/>
        </w:rPr>
        <w:t>%</w:t>
      </w:r>
      <w:r>
        <w:rPr>
          <w:rFonts w:hint="eastAsia" w:ascii="仿宋_GB2312" w:eastAsia="仿宋_GB2312" w:cs="黑体"/>
          <w:color w:val="auto"/>
          <w:sz w:val="30"/>
          <w:szCs w:val="30"/>
        </w:rPr>
        <w:t>，其中：公务用车运行维护费</w:t>
      </w:r>
      <w:r>
        <w:rPr>
          <w:rFonts w:hint="eastAsia" w:ascii="仿宋_GB2312" w:eastAsia="仿宋_GB2312" w:cs="黑体"/>
          <w:color w:val="auto"/>
          <w:sz w:val="30"/>
          <w:szCs w:val="30"/>
          <w:lang w:val="en-US" w:eastAsia="zh-CN"/>
        </w:rPr>
        <w:t>8.87</w:t>
      </w:r>
      <w:r>
        <w:rPr>
          <w:rFonts w:hint="eastAsia" w:ascii="仿宋_GB2312" w:eastAsia="仿宋_GB2312" w:cs="黑体"/>
          <w:color w:val="auto"/>
          <w:sz w:val="30"/>
          <w:szCs w:val="30"/>
        </w:rPr>
        <w:t>万元，完成预算的</w:t>
      </w:r>
      <w:r>
        <w:rPr>
          <w:rFonts w:hint="eastAsia" w:ascii="仿宋_GB2312" w:eastAsia="仿宋_GB2312" w:cs="黑体"/>
          <w:color w:val="auto"/>
          <w:sz w:val="30"/>
          <w:szCs w:val="30"/>
          <w:lang w:val="en-US" w:eastAsia="zh-CN"/>
        </w:rPr>
        <w:t>109.63</w:t>
      </w:r>
      <w:r>
        <w:rPr>
          <w:rFonts w:ascii="仿宋_GB2312" w:eastAsia="仿宋_GB2312" w:cs="黑体"/>
          <w:color w:val="auto"/>
          <w:sz w:val="30"/>
          <w:szCs w:val="30"/>
        </w:rPr>
        <w:t>%</w:t>
      </w:r>
      <w:r>
        <w:rPr>
          <w:rFonts w:hint="eastAsia" w:ascii="仿宋_GB2312" w:eastAsia="仿宋_GB2312" w:cs="黑体"/>
          <w:color w:val="auto"/>
          <w:sz w:val="30"/>
          <w:szCs w:val="30"/>
        </w:rPr>
        <w:t>；公务接待费支出决算为</w:t>
      </w:r>
      <w:r>
        <w:rPr>
          <w:rFonts w:ascii="仿宋_GB2312" w:eastAsia="仿宋_GB2312" w:cs="黑体"/>
          <w:color w:val="auto"/>
          <w:sz w:val="30"/>
          <w:szCs w:val="30"/>
        </w:rPr>
        <w:t>5.9</w:t>
      </w:r>
      <w:r>
        <w:rPr>
          <w:rFonts w:hint="eastAsia" w:ascii="仿宋_GB2312" w:eastAsia="仿宋_GB2312" w:cs="黑体"/>
          <w:color w:val="auto"/>
          <w:sz w:val="30"/>
          <w:szCs w:val="30"/>
        </w:rPr>
        <w:t>万元，完成预算的</w:t>
      </w:r>
      <w:r>
        <w:rPr>
          <w:rFonts w:ascii="仿宋_GB2312" w:eastAsia="仿宋_GB2312" w:cs="黑体"/>
          <w:color w:val="auto"/>
          <w:sz w:val="30"/>
          <w:szCs w:val="30"/>
        </w:rPr>
        <w:t>98.33%</w:t>
      </w:r>
      <w:r>
        <w:rPr>
          <w:rFonts w:hint="eastAsia" w:ascii="仿宋_GB2312" w:eastAsia="仿宋_GB2312" w:cs="黑体"/>
          <w:color w:val="auto"/>
          <w:sz w:val="30"/>
          <w:szCs w:val="30"/>
        </w:rPr>
        <w:t>。</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年度“三公”经费支出决算数</w:t>
      </w:r>
      <w:r>
        <w:rPr>
          <w:rFonts w:hint="eastAsia" w:ascii="仿宋_GB2312" w:eastAsia="仿宋_GB2312" w:cs="黑体"/>
          <w:color w:val="auto"/>
          <w:sz w:val="30"/>
          <w:szCs w:val="30"/>
          <w:lang w:val="en-US" w:eastAsia="zh-CN"/>
        </w:rPr>
        <w:t>大</w:t>
      </w:r>
      <w:r>
        <w:rPr>
          <w:rFonts w:hint="eastAsia" w:ascii="仿宋_GB2312" w:eastAsia="仿宋_GB2312" w:cs="黑体"/>
          <w:color w:val="auto"/>
          <w:sz w:val="30"/>
          <w:szCs w:val="30"/>
        </w:rPr>
        <w:t>于预算数的主要原因：</w:t>
      </w:r>
      <w:r>
        <w:rPr>
          <w:rFonts w:hint="eastAsia" w:ascii="仿宋_GB2312" w:eastAsia="仿宋_GB2312" w:cs="黑体"/>
          <w:color w:val="auto"/>
          <w:sz w:val="30"/>
          <w:szCs w:val="30"/>
          <w:lang w:val="en-US" w:eastAsia="zh-CN"/>
        </w:rPr>
        <w:t>2022年公车运行维护费增多</w:t>
      </w:r>
      <w:r>
        <w:rPr>
          <w:rFonts w:hint="eastAsia" w:ascii="仿宋_GB2312" w:eastAsia="仿宋_GB2312" w:cs="黑体"/>
          <w:color w:val="auto"/>
          <w:sz w:val="30"/>
          <w:szCs w:val="30"/>
        </w:rPr>
        <w:t>。</w:t>
      </w:r>
    </w:p>
    <w:p>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年度“三公”经费财政拨款支出决算数比</w:t>
      </w:r>
      <w:r>
        <w:rPr>
          <w:rFonts w:hint="eastAsia" w:ascii="仿宋_GB2312" w:eastAsia="仿宋_GB2312" w:cs="黑体"/>
          <w:color w:val="auto"/>
          <w:sz w:val="30"/>
          <w:szCs w:val="30"/>
          <w:lang w:eastAsia="zh-CN"/>
        </w:rPr>
        <w:t>20</w:t>
      </w:r>
      <w:r>
        <w:rPr>
          <w:rFonts w:hint="eastAsia" w:ascii="仿宋_GB2312" w:eastAsia="仿宋_GB2312" w:cs="黑体"/>
          <w:color w:val="auto"/>
          <w:sz w:val="30"/>
          <w:szCs w:val="30"/>
          <w:lang w:val="en-US" w:eastAsia="zh-CN"/>
        </w:rPr>
        <w:t>21</w:t>
      </w:r>
      <w:r>
        <w:rPr>
          <w:rFonts w:hint="eastAsia" w:ascii="仿宋_GB2312" w:eastAsia="仿宋_GB2312" w:cs="黑体"/>
          <w:color w:val="auto"/>
          <w:sz w:val="30"/>
          <w:szCs w:val="30"/>
        </w:rPr>
        <w:t>年度决算数</w:t>
      </w:r>
      <w:r>
        <w:rPr>
          <w:rFonts w:hint="eastAsia" w:ascii="仿宋_GB2312" w:eastAsia="仿宋_GB2312" w:cs="黑体"/>
          <w:color w:val="auto"/>
          <w:sz w:val="30"/>
          <w:szCs w:val="30"/>
          <w:lang w:val="en-US" w:eastAsia="zh-CN"/>
        </w:rPr>
        <w:t>减少3.55</w:t>
      </w:r>
      <w:r>
        <w:rPr>
          <w:rFonts w:hint="eastAsia" w:ascii="仿宋_GB2312" w:eastAsia="仿宋_GB2312" w:cs="黑体"/>
          <w:color w:val="auto"/>
          <w:sz w:val="30"/>
          <w:szCs w:val="30"/>
        </w:rPr>
        <w:t>万元，</w:t>
      </w:r>
      <w:r>
        <w:rPr>
          <w:rFonts w:hint="eastAsia" w:ascii="仿宋_GB2312" w:eastAsia="仿宋_GB2312" w:cs="黑体"/>
          <w:color w:val="auto"/>
          <w:sz w:val="30"/>
          <w:szCs w:val="30"/>
          <w:lang w:val="en-US" w:eastAsia="zh-CN"/>
        </w:rPr>
        <w:t>减少19.38</w:t>
      </w:r>
      <w:r>
        <w:rPr>
          <w:rFonts w:ascii="仿宋_GB2312" w:eastAsia="仿宋_GB2312" w:cs="黑体"/>
          <w:color w:val="auto"/>
          <w:sz w:val="30"/>
          <w:szCs w:val="30"/>
        </w:rPr>
        <w:t>%</w:t>
      </w:r>
      <w:r>
        <w:rPr>
          <w:rFonts w:hint="eastAsia" w:ascii="仿宋_GB2312" w:eastAsia="仿宋_GB2312" w:cs="黑体"/>
          <w:color w:val="auto"/>
          <w:sz w:val="30"/>
          <w:szCs w:val="30"/>
        </w:rPr>
        <w:t>，其中：公务用车购置及运行费支出决算</w:t>
      </w:r>
      <w:r>
        <w:rPr>
          <w:rFonts w:hint="eastAsia" w:ascii="仿宋_GB2312" w:eastAsia="仿宋_GB2312" w:cs="黑体"/>
          <w:color w:val="auto"/>
          <w:sz w:val="30"/>
          <w:szCs w:val="30"/>
          <w:lang w:val="en-US" w:eastAsia="zh-CN"/>
        </w:rPr>
        <w:t>减少3.55</w:t>
      </w:r>
      <w:r>
        <w:rPr>
          <w:rFonts w:hint="eastAsia" w:ascii="仿宋_GB2312" w:eastAsia="仿宋_GB2312" w:cs="黑体"/>
          <w:color w:val="auto"/>
          <w:sz w:val="30"/>
          <w:szCs w:val="30"/>
        </w:rPr>
        <w:t>万元，</w:t>
      </w:r>
      <w:r>
        <w:rPr>
          <w:rFonts w:hint="eastAsia" w:ascii="仿宋_GB2312" w:eastAsia="仿宋_GB2312" w:cs="黑体"/>
          <w:color w:val="auto"/>
          <w:sz w:val="30"/>
          <w:szCs w:val="30"/>
          <w:lang w:val="en-US" w:eastAsia="zh-CN"/>
        </w:rPr>
        <w:t>减少28.58</w:t>
      </w:r>
      <w:r>
        <w:rPr>
          <w:rFonts w:ascii="仿宋_GB2312" w:eastAsia="仿宋_GB2312" w:cs="黑体"/>
          <w:color w:val="auto"/>
          <w:sz w:val="30"/>
          <w:szCs w:val="30"/>
        </w:rPr>
        <w:t>%</w:t>
      </w:r>
      <w:r>
        <w:rPr>
          <w:rFonts w:hint="eastAsia" w:ascii="仿宋_GB2312" w:eastAsia="仿宋_GB2312" w:cs="黑体"/>
          <w:color w:val="auto"/>
          <w:sz w:val="30"/>
          <w:szCs w:val="30"/>
        </w:rPr>
        <w:t>；公务接待费支出决算</w:t>
      </w:r>
      <w:r>
        <w:rPr>
          <w:rFonts w:hint="eastAsia" w:ascii="仿宋_GB2312" w:eastAsia="仿宋_GB2312" w:cs="黑体"/>
          <w:color w:val="auto"/>
          <w:sz w:val="30"/>
          <w:szCs w:val="30"/>
          <w:lang w:val="en-US" w:eastAsia="zh-CN"/>
        </w:rPr>
        <w:t>数相等</w:t>
      </w:r>
      <w:r>
        <w:rPr>
          <w:rFonts w:hint="eastAsia" w:ascii="仿宋_GB2312" w:eastAsia="仿宋_GB2312" w:cs="黑体"/>
          <w:color w:val="auto"/>
          <w:sz w:val="30"/>
          <w:szCs w:val="30"/>
        </w:rPr>
        <w:t>。</w:t>
      </w:r>
    </w:p>
    <w:p>
      <w:pPr>
        <w:outlineLvl w:val="0"/>
        <w:rPr>
          <w:rFonts w:hint="eastAsia" w:ascii="楷体_GB2312" w:eastAsia="楷体_GB2312" w:cs="黑体"/>
          <w:b/>
          <w:color w:val="auto"/>
          <w:sz w:val="30"/>
          <w:szCs w:val="30"/>
        </w:rPr>
      </w:pPr>
      <w:r>
        <w:rPr>
          <w:rFonts w:hint="eastAsia" w:ascii="楷体_GB2312" w:hAnsi="宋体" w:eastAsia="楷体_GB2312" w:cs="黑体"/>
          <w:b/>
          <w:color w:val="auto"/>
          <w:sz w:val="30"/>
          <w:szCs w:val="30"/>
        </w:rPr>
        <w:t>（二）</w:t>
      </w:r>
      <w:r>
        <w:rPr>
          <w:rFonts w:hint="eastAsia" w:ascii="楷体_GB2312" w:eastAsia="楷体_GB2312" w:cs="黑体"/>
          <w:b/>
          <w:color w:val="auto"/>
          <w:sz w:val="30"/>
          <w:szCs w:val="30"/>
        </w:rPr>
        <w:t>“三公”经费财政拨款支出决算具体情况说明。</w:t>
      </w:r>
    </w:p>
    <w:p>
      <w:pPr>
        <w:ind w:firstLine="600" w:firstLineChars="200"/>
        <w:rPr>
          <w:rFonts w:hint="eastAsia" w:ascii="楷体_GB2312" w:eastAsia="楷体_GB2312" w:cs="黑体"/>
          <w:b/>
          <w:color w:val="auto"/>
          <w:sz w:val="30"/>
          <w:szCs w:val="30"/>
        </w:rPr>
      </w:pP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年度“三公”经费财政拨款支出决算中，公务用车购置及运行费支出决算</w:t>
      </w:r>
      <w:r>
        <w:rPr>
          <w:rFonts w:hint="eastAsia" w:ascii="仿宋_GB2312" w:eastAsia="仿宋_GB2312" w:cs="黑体"/>
          <w:color w:val="auto"/>
          <w:sz w:val="30"/>
          <w:szCs w:val="30"/>
          <w:lang w:val="en-US" w:eastAsia="zh-CN"/>
        </w:rPr>
        <w:t>8.87</w:t>
      </w:r>
      <w:r>
        <w:rPr>
          <w:rFonts w:hint="eastAsia" w:ascii="仿宋_GB2312" w:eastAsia="仿宋_GB2312" w:cs="黑体"/>
          <w:color w:val="auto"/>
          <w:sz w:val="30"/>
          <w:szCs w:val="30"/>
        </w:rPr>
        <w:t>万元，占“三公”经费财政拨款支出的</w:t>
      </w:r>
      <w:r>
        <w:rPr>
          <w:rFonts w:hint="eastAsia" w:ascii="仿宋_GB2312" w:eastAsia="仿宋_GB2312" w:cs="黑体"/>
          <w:color w:val="auto"/>
          <w:sz w:val="30"/>
          <w:szCs w:val="30"/>
          <w:lang w:val="en-US" w:eastAsia="zh-CN"/>
        </w:rPr>
        <w:t>60.05</w:t>
      </w:r>
      <w:r>
        <w:rPr>
          <w:rFonts w:ascii="仿宋_GB2312" w:eastAsia="仿宋_GB2312" w:cs="黑体"/>
          <w:color w:val="auto"/>
          <w:sz w:val="30"/>
          <w:szCs w:val="30"/>
        </w:rPr>
        <w:t>%</w:t>
      </w:r>
      <w:r>
        <w:rPr>
          <w:rFonts w:hint="eastAsia" w:ascii="仿宋_GB2312" w:eastAsia="仿宋_GB2312" w:cs="黑体"/>
          <w:color w:val="auto"/>
          <w:sz w:val="30"/>
          <w:szCs w:val="30"/>
        </w:rPr>
        <w:t>；公务接待费支出决算</w:t>
      </w:r>
      <w:r>
        <w:rPr>
          <w:rFonts w:ascii="仿宋_GB2312" w:eastAsia="仿宋_GB2312" w:cs="黑体"/>
          <w:color w:val="auto"/>
          <w:sz w:val="30"/>
          <w:szCs w:val="30"/>
        </w:rPr>
        <w:t>5.9</w:t>
      </w:r>
      <w:r>
        <w:rPr>
          <w:rFonts w:hint="eastAsia" w:ascii="仿宋_GB2312" w:eastAsia="仿宋_GB2312" w:cs="黑体"/>
          <w:color w:val="auto"/>
          <w:sz w:val="30"/>
          <w:szCs w:val="30"/>
        </w:rPr>
        <w:t>万元，占“三公”经费财政拨款支出的</w:t>
      </w:r>
      <w:r>
        <w:rPr>
          <w:rFonts w:hint="eastAsia" w:ascii="仿宋_GB2312" w:eastAsia="仿宋_GB2312" w:cs="黑体"/>
          <w:color w:val="auto"/>
          <w:sz w:val="30"/>
          <w:szCs w:val="30"/>
          <w:lang w:val="en-US" w:eastAsia="zh-CN"/>
        </w:rPr>
        <w:t>39.95</w:t>
      </w:r>
      <w:r>
        <w:rPr>
          <w:rFonts w:ascii="仿宋_GB2312" w:eastAsia="仿宋_GB2312" w:cs="黑体"/>
          <w:color w:val="auto"/>
          <w:sz w:val="30"/>
          <w:szCs w:val="30"/>
        </w:rPr>
        <w:t>%</w:t>
      </w:r>
      <w:r>
        <w:rPr>
          <w:rFonts w:hint="eastAsia" w:ascii="仿宋_GB2312" w:eastAsia="仿宋_GB2312" w:cs="黑体"/>
          <w:color w:val="auto"/>
          <w:sz w:val="30"/>
          <w:szCs w:val="30"/>
        </w:rPr>
        <w:t>。具体情况如下：</w:t>
      </w:r>
    </w:p>
    <w:p>
      <w:pPr>
        <w:ind w:firstLine="600" w:firstLineChars="200"/>
        <w:rPr>
          <w:rFonts w:ascii="仿宋_GB2312" w:hAnsi="华文中宋" w:eastAsia="仿宋_GB2312" w:cs="黑体"/>
          <w:color w:val="auto"/>
          <w:sz w:val="30"/>
          <w:szCs w:val="30"/>
        </w:rPr>
      </w:pPr>
      <w:r>
        <w:rPr>
          <w:rFonts w:ascii="仿宋_GB2312" w:eastAsia="仿宋_GB2312" w:cs="黑体"/>
          <w:color w:val="auto"/>
          <w:sz w:val="30"/>
          <w:szCs w:val="30"/>
        </w:rPr>
        <w:t>1</w:t>
      </w:r>
      <w:r>
        <w:rPr>
          <w:rFonts w:hint="eastAsia" w:ascii="仿宋_GB2312" w:eastAsia="仿宋_GB2312" w:cs="黑体"/>
          <w:color w:val="auto"/>
          <w:sz w:val="30"/>
          <w:szCs w:val="30"/>
        </w:rPr>
        <w:t>、因公出国（境）费支出</w:t>
      </w:r>
      <w:r>
        <w:rPr>
          <w:rFonts w:ascii="仿宋_GB2312" w:eastAsia="仿宋_GB2312" w:cs="黑体"/>
          <w:color w:val="auto"/>
          <w:sz w:val="30"/>
          <w:szCs w:val="30"/>
        </w:rPr>
        <w:t>0</w:t>
      </w:r>
      <w:r>
        <w:rPr>
          <w:rFonts w:hint="eastAsia" w:ascii="仿宋_GB2312" w:eastAsia="仿宋_GB2312" w:cs="黑体"/>
          <w:color w:val="auto"/>
          <w:sz w:val="30"/>
          <w:szCs w:val="30"/>
        </w:rPr>
        <w:t>万元。全年安排因公出国（境）团组</w:t>
      </w:r>
      <w:r>
        <w:rPr>
          <w:rFonts w:ascii="仿宋_GB2312" w:eastAsia="仿宋_GB2312" w:cs="黑体"/>
          <w:color w:val="auto"/>
          <w:sz w:val="30"/>
          <w:szCs w:val="30"/>
        </w:rPr>
        <w:t>0</w:t>
      </w:r>
      <w:r>
        <w:rPr>
          <w:rFonts w:hint="eastAsia" w:ascii="仿宋_GB2312" w:eastAsia="仿宋_GB2312" w:cs="黑体"/>
          <w:color w:val="auto"/>
          <w:sz w:val="30"/>
          <w:szCs w:val="30"/>
        </w:rPr>
        <w:t>个、累计</w:t>
      </w:r>
      <w:r>
        <w:rPr>
          <w:rFonts w:ascii="仿宋_GB2312" w:eastAsia="仿宋_GB2312" w:cs="黑体"/>
          <w:color w:val="auto"/>
          <w:sz w:val="30"/>
          <w:szCs w:val="30"/>
        </w:rPr>
        <w:t>0</w:t>
      </w:r>
      <w:r>
        <w:rPr>
          <w:rFonts w:hint="eastAsia" w:ascii="仿宋_GB2312" w:eastAsia="仿宋_GB2312" w:cs="黑体"/>
          <w:color w:val="auto"/>
          <w:sz w:val="30"/>
          <w:szCs w:val="30"/>
        </w:rPr>
        <w:t>人次</w:t>
      </w:r>
      <w:r>
        <w:rPr>
          <w:rFonts w:hint="eastAsia" w:ascii="仿宋_GB2312" w:hAnsi="华文中宋" w:eastAsia="仿宋_GB2312" w:cs="黑体"/>
          <w:color w:val="auto"/>
          <w:sz w:val="30"/>
          <w:szCs w:val="30"/>
        </w:rPr>
        <w:t>。开支内容包括</w:t>
      </w:r>
      <w:r>
        <w:rPr>
          <w:rFonts w:hint="eastAsia" w:ascii="仿宋_GB2312" w:eastAsia="仿宋_GB2312" w:cs="黑体"/>
          <w:color w:val="auto"/>
          <w:sz w:val="30"/>
          <w:szCs w:val="30"/>
        </w:rPr>
        <w:t>。</w:t>
      </w:r>
    </w:p>
    <w:p>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2</w:t>
      </w:r>
      <w:r>
        <w:rPr>
          <w:rFonts w:hint="eastAsia" w:ascii="仿宋_GB2312" w:eastAsia="仿宋_GB2312" w:cs="黑体"/>
          <w:color w:val="auto"/>
          <w:sz w:val="30"/>
          <w:szCs w:val="30"/>
        </w:rPr>
        <w:t>、公务用车购置及运行费支出</w:t>
      </w:r>
      <w:r>
        <w:rPr>
          <w:rFonts w:hint="eastAsia" w:ascii="仿宋_GB2312" w:eastAsia="仿宋_GB2312" w:cs="黑体"/>
          <w:color w:val="auto"/>
          <w:sz w:val="30"/>
          <w:szCs w:val="30"/>
          <w:lang w:val="en-US" w:eastAsia="zh-CN"/>
        </w:rPr>
        <w:t>8.87</w:t>
      </w:r>
      <w:r>
        <w:rPr>
          <w:rFonts w:hint="eastAsia" w:ascii="仿宋_GB2312" w:eastAsia="仿宋_GB2312" w:cs="黑体"/>
          <w:color w:val="auto"/>
          <w:sz w:val="30"/>
          <w:szCs w:val="30"/>
        </w:rPr>
        <w:t>万元。其中：公务用车购置支出</w:t>
      </w:r>
      <w:r>
        <w:rPr>
          <w:rFonts w:ascii="仿宋_GB2312" w:eastAsia="仿宋_GB2312" w:cs="黑体"/>
          <w:color w:val="auto"/>
          <w:sz w:val="30"/>
          <w:szCs w:val="30"/>
        </w:rPr>
        <w:t>0</w:t>
      </w:r>
      <w:r>
        <w:rPr>
          <w:rFonts w:hint="eastAsia" w:ascii="仿宋_GB2312" w:eastAsia="仿宋_GB2312" w:cs="黑体"/>
          <w:color w:val="auto"/>
          <w:sz w:val="30"/>
          <w:szCs w:val="30"/>
        </w:rPr>
        <w:t>万元。购置公务用车</w:t>
      </w:r>
      <w:r>
        <w:rPr>
          <w:rFonts w:ascii="仿宋_GB2312" w:eastAsia="仿宋_GB2312" w:cs="黑体"/>
          <w:color w:val="auto"/>
          <w:sz w:val="30"/>
          <w:szCs w:val="30"/>
        </w:rPr>
        <w:t>0</w:t>
      </w:r>
      <w:r>
        <w:rPr>
          <w:rFonts w:hint="eastAsia" w:ascii="仿宋_GB2312" w:eastAsia="仿宋_GB2312" w:cs="黑体"/>
          <w:color w:val="auto"/>
          <w:sz w:val="30"/>
          <w:szCs w:val="30"/>
        </w:rPr>
        <w:t>辆。</w:t>
      </w:r>
    </w:p>
    <w:p>
      <w:pPr>
        <w:rPr>
          <w:rFonts w:hint="eastAsia" w:eastAsia="仿宋_GB2312" w:cs="黑体"/>
          <w:color w:val="auto"/>
          <w:sz w:val="30"/>
          <w:szCs w:val="30"/>
        </w:rPr>
      </w:pPr>
      <w:r>
        <w:rPr>
          <w:rFonts w:hint="eastAsia" w:eastAsia="仿宋_GB2312" w:cs="黑体"/>
          <w:color w:val="auto"/>
          <w:sz w:val="30"/>
          <w:szCs w:val="30"/>
        </w:rPr>
        <w:t>公务用车运行维护费支出</w:t>
      </w:r>
      <w:r>
        <w:rPr>
          <w:rFonts w:hint="eastAsia" w:ascii="仿宋_GB2312" w:eastAsia="仿宋_GB2312" w:cs="黑体"/>
          <w:color w:val="auto"/>
          <w:sz w:val="30"/>
          <w:szCs w:val="30"/>
          <w:lang w:val="en-US" w:eastAsia="zh-CN"/>
        </w:rPr>
        <w:t>8.87</w:t>
      </w:r>
      <w:r>
        <w:rPr>
          <w:rFonts w:hint="eastAsia" w:eastAsia="仿宋_GB2312" w:cs="黑体"/>
          <w:color w:val="auto"/>
          <w:sz w:val="30"/>
          <w:szCs w:val="30"/>
        </w:rPr>
        <w:t>万元。主要用于</w:t>
      </w:r>
      <w:r>
        <w:rPr>
          <w:rFonts w:hint="eastAsia" w:ascii="仿宋_GB2312" w:eastAsia="仿宋_GB2312" w:cs="黑体"/>
          <w:color w:val="auto"/>
          <w:sz w:val="30"/>
          <w:szCs w:val="30"/>
        </w:rPr>
        <w:t>应急车辆支出和办公用车及垃圾车支出</w:t>
      </w:r>
      <w:r>
        <w:rPr>
          <w:rFonts w:hint="eastAsia" w:eastAsia="仿宋_GB2312" w:cs="黑体"/>
          <w:color w:val="auto"/>
          <w:sz w:val="30"/>
          <w:szCs w:val="30"/>
        </w:rPr>
        <w:t>。</w:t>
      </w:r>
    </w:p>
    <w:p>
      <w:pPr>
        <w:ind w:firstLine="600" w:firstLineChars="200"/>
        <w:rPr>
          <w:rFonts w:hint="eastAsia" w:ascii="仿宋_GB2312" w:eastAsia="仿宋_GB2312" w:cs="黑体"/>
          <w:color w:val="auto"/>
          <w:sz w:val="30"/>
          <w:szCs w:val="30"/>
        </w:rPr>
      </w:pPr>
      <w:r>
        <w:rPr>
          <w:rFonts w:ascii="仿宋_GB2312" w:eastAsia="仿宋_GB2312" w:cs="黑体"/>
          <w:color w:val="auto"/>
          <w:sz w:val="30"/>
          <w:szCs w:val="30"/>
        </w:rPr>
        <w:t>3</w:t>
      </w:r>
      <w:r>
        <w:rPr>
          <w:rFonts w:hint="eastAsia" w:ascii="仿宋_GB2312" w:eastAsia="仿宋_GB2312" w:cs="黑体"/>
          <w:color w:val="auto"/>
          <w:sz w:val="30"/>
          <w:szCs w:val="30"/>
        </w:rPr>
        <w:t>、公务接待费支出</w:t>
      </w:r>
      <w:r>
        <w:rPr>
          <w:rFonts w:ascii="仿宋_GB2312" w:eastAsia="仿宋_GB2312" w:cs="黑体"/>
          <w:color w:val="auto"/>
          <w:sz w:val="30"/>
          <w:szCs w:val="30"/>
        </w:rPr>
        <w:t>5.9</w:t>
      </w:r>
      <w:r>
        <w:rPr>
          <w:rFonts w:hint="eastAsia" w:ascii="仿宋_GB2312" w:eastAsia="仿宋_GB2312" w:cs="黑体"/>
          <w:color w:val="auto"/>
          <w:sz w:val="30"/>
          <w:szCs w:val="30"/>
        </w:rPr>
        <w:t>万元。其中：国内接待费支出</w:t>
      </w:r>
      <w:r>
        <w:rPr>
          <w:rFonts w:ascii="仿宋_GB2312" w:eastAsia="仿宋_GB2312" w:cs="黑体"/>
          <w:color w:val="auto"/>
          <w:sz w:val="30"/>
          <w:szCs w:val="30"/>
        </w:rPr>
        <w:t>5.9</w:t>
      </w:r>
      <w:r>
        <w:rPr>
          <w:rFonts w:hint="eastAsia" w:ascii="仿宋_GB2312" w:eastAsia="仿宋_GB2312" w:cs="黑体"/>
          <w:color w:val="auto"/>
          <w:sz w:val="30"/>
          <w:szCs w:val="30"/>
        </w:rPr>
        <w:t>万（含外宾接待支出</w:t>
      </w:r>
      <w:r>
        <w:rPr>
          <w:rFonts w:ascii="仿宋_GB2312" w:eastAsia="仿宋_GB2312" w:cs="黑体"/>
          <w:color w:val="auto"/>
          <w:sz w:val="30"/>
          <w:szCs w:val="30"/>
        </w:rPr>
        <w:t>0</w:t>
      </w:r>
      <w:r>
        <w:rPr>
          <w:rFonts w:hint="eastAsia" w:ascii="仿宋_GB2312" w:eastAsia="仿宋_GB2312" w:cs="黑体"/>
          <w:color w:val="auto"/>
          <w:sz w:val="30"/>
          <w:szCs w:val="30"/>
        </w:rPr>
        <w:t>万元）。主要用于招商引资，全年公务接待共</w:t>
      </w:r>
      <w:r>
        <w:rPr>
          <w:rFonts w:ascii="仿宋_GB2312" w:eastAsia="仿宋_GB2312" w:cs="黑体"/>
          <w:color w:val="auto"/>
          <w:sz w:val="30"/>
          <w:szCs w:val="30"/>
        </w:rPr>
        <w:t>200</w:t>
      </w:r>
      <w:r>
        <w:rPr>
          <w:rFonts w:hint="eastAsia" w:ascii="仿宋_GB2312" w:eastAsia="仿宋_GB2312" w:cs="黑体"/>
          <w:color w:val="auto"/>
          <w:sz w:val="30"/>
          <w:szCs w:val="30"/>
          <w:lang w:val="en-US" w:eastAsia="zh-CN"/>
        </w:rPr>
        <w:t>余</w:t>
      </w:r>
      <w:r>
        <w:rPr>
          <w:rFonts w:hint="eastAsia" w:ascii="仿宋_GB2312" w:eastAsia="仿宋_GB2312" w:cs="黑体"/>
          <w:color w:val="auto"/>
          <w:sz w:val="30"/>
          <w:szCs w:val="30"/>
        </w:rPr>
        <w:t>批次、</w:t>
      </w:r>
      <w:r>
        <w:rPr>
          <w:rFonts w:ascii="仿宋_GB2312" w:eastAsia="仿宋_GB2312" w:cs="黑体"/>
          <w:color w:val="auto"/>
          <w:sz w:val="30"/>
          <w:szCs w:val="30"/>
        </w:rPr>
        <w:t>1200</w:t>
      </w:r>
      <w:r>
        <w:rPr>
          <w:rFonts w:hint="eastAsia" w:ascii="仿宋_GB2312" w:eastAsia="仿宋_GB2312" w:cs="黑体"/>
          <w:color w:val="auto"/>
          <w:sz w:val="30"/>
          <w:szCs w:val="30"/>
          <w:lang w:val="en-US" w:eastAsia="zh-CN"/>
        </w:rPr>
        <w:t>余</w:t>
      </w:r>
      <w:r>
        <w:rPr>
          <w:rFonts w:hint="eastAsia" w:ascii="仿宋_GB2312" w:eastAsia="仿宋_GB2312" w:cs="黑体"/>
          <w:color w:val="auto"/>
          <w:sz w:val="30"/>
          <w:szCs w:val="30"/>
        </w:rPr>
        <w:t>人次，其中：接待外宾</w:t>
      </w:r>
      <w:r>
        <w:rPr>
          <w:rFonts w:ascii="仿宋_GB2312" w:eastAsia="仿宋_GB2312" w:cs="黑体"/>
          <w:color w:val="auto"/>
          <w:sz w:val="30"/>
          <w:szCs w:val="30"/>
        </w:rPr>
        <w:t>0</w:t>
      </w:r>
      <w:r>
        <w:rPr>
          <w:rFonts w:hint="eastAsia" w:ascii="仿宋_GB2312" w:eastAsia="仿宋_GB2312" w:cs="黑体"/>
          <w:color w:val="auto"/>
          <w:sz w:val="30"/>
          <w:szCs w:val="30"/>
        </w:rPr>
        <w:t>批次、</w:t>
      </w:r>
      <w:r>
        <w:rPr>
          <w:rFonts w:ascii="仿宋_GB2312" w:eastAsia="仿宋_GB2312" w:cs="黑体"/>
          <w:color w:val="auto"/>
          <w:sz w:val="30"/>
          <w:szCs w:val="30"/>
        </w:rPr>
        <w:t>0</w:t>
      </w:r>
      <w:r>
        <w:rPr>
          <w:rFonts w:hint="eastAsia" w:ascii="仿宋_GB2312" w:eastAsia="仿宋_GB2312" w:cs="黑体"/>
          <w:color w:val="auto"/>
          <w:sz w:val="30"/>
          <w:szCs w:val="30"/>
        </w:rPr>
        <w:t>人次。</w:t>
      </w:r>
    </w:p>
    <w:p>
      <w:pPr>
        <w:rPr>
          <w:rFonts w:hint="eastAsia" w:ascii="仿宋_GB2312" w:eastAsia="仿宋_GB2312" w:cs="黑体"/>
          <w:color w:val="auto"/>
          <w:sz w:val="30"/>
          <w:szCs w:val="30"/>
        </w:rPr>
      </w:pPr>
      <w:r>
        <w:rPr>
          <w:rFonts w:hint="eastAsia" w:ascii="仿宋_GB2312" w:eastAsia="仿宋_GB2312" w:cs="黑体"/>
          <w:color w:val="auto"/>
          <w:sz w:val="30"/>
          <w:szCs w:val="30"/>
        </w:rPr>
        <w:t>国（境）外接待费支出</w:t>
      </w:r>
      <w:r>
        <w:rPr>
          <w:rFonts w:ascii="仿宋_GB2312" w:eastAsia="仿宋_GB2312" w:cs="黑体"/>
          <w:color w:val="auto"/>
          <w:sz w:val="30"/>
          <w:szCs w:val="30"/>
        </w:rPr>
        <w:t>0</w:t>
      </w:r>
      <w:r>
        <w:rPr>
          <w:rFonts w:hint="eastAsia" w:ascii="仿宋_GB2312" w:eastAsia="仿宋_GB2312" w:cs="黑体"/>
          <w:color w:val="auto"/>
          <w:sz w:val="30"/>
          <w:szCs w:val="30"/>
        </w:rPr>
        <w:t>万元，主要用于，全年公务接待共批</w:t>
      </w:r>
      <w:r>
        <w:rPr>
          <w:rFonts w:ascii="仿宋_GB2312" w:eastAsia="仿宋_GB2312" w:cs="黑体"/>
          <w:color w:val="auto"/>
          <w:sz w:val="30"/>
          <w:szCs w:val="30"/>
        </w:rPr>
        <w:t>0</w:t>
      </w:r>
      <w:r>
        <w:rPr>
          <w:rFonts w:hint="eastAsia" w:ascii="仿宋_GB2312" w:eastAsia="仿宋_GB2312" w:cs="黑体"/>
          <w:color w:val="auto"/>
          <w:sz w:val="30"/>
          <w:szCs w:val="30"/>
        </w:rPr>
        <w:t>次、</w:t>
      </w:r>
      <w:r>
        <w:rPr>
          <w:rFonts w:ascii="仿宋_GB2312" w:eastAsia="仿宋_GB2312" w:cs="黑体"/>
          <w:color w:val="auto"/>
          <w:sz w:val="30"/>
          <w:szCs w:val="30"/>
        </w:rPr>
        <w:t>0</w:t>
      </w:r>
      <w:r>
        <w:rPr>
          <w:rFonts w:hint="eastAsia" w:ascii="仿宋_GB2312" w:eastAsia="仿宋_GB2312" w:cs="黑体"/>
          <w:color w:val="auto"/>
          <w:sz w:val="30"/>
          <w:szCs w:val="30"/>
        </w:rPr>
        <w:t>人次。</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八、关于</w:t>
      </w:r>
      <w:r>
        <w:rPr>
          <w:rFonts w:hint="eastAsia" w:ascii="楷体_GB2312" w:hAnsi="宋体" w:eastAsia="楷体_GB2312" w:cs="黑体"/>
          <w:b/>
          <w:color w:val="auto"/>
          <w:sz w:val="30"/>
          <w:szCs w:val="30"/>
        </w:rPr>
        <w:t>庄河市荷花山镇人民政府</w:t>
      </w:r>
      <w:r>
        <w:rPr>
          <w:rFonts w:hint="eastAsia" w:ascii="楷体_GB2312" w:eastAsia="楷体_GB2312" w:cs="黑体"/>
          <w:b/>
          <w:color w:val="auto"/>
          <w:sz w:val="30"/>
          <w:szCs w:val="30"/>
          <w:lang w:eastAsia="zh-CN"/>
        </w:rPr>
        <w:t>2020</w:t>
      </w:r>
      <w:r>
        <w:rPr>
          <w:rFonts w:hint="eastAsia" w:ascii="楷体_GB2312" w:eastAsia="楷体_GB2312" w:cs="黑体"/>
          <w:b/>
          <w:color w:val="auto"/>
          <w:sz w:val="30"/>
          <w:szCs w:val="30"/>
        </w:rPr>
        <w:t>年度政府性基金预算财政拨款收入支出决算情况说明</w:t>
      </w:r>
    </w:p>
    <w:p>
      <w:pPr>
        <w:ind w:firstLine="600" w:firstLineChars="200"/>
        <w:rPr>
          <w:rFonts w:hint="eastAsia" w:ascii="仿宋_GB2312" w:eastAsia="仿宋_GB2312" w:cs="黑体"/>
          <w:color w:val="auto"/>
          <w:sz w:val="30"/>
          <w:szCs w:val="30"/>
        </w:rPr>
      </w:pPr>
      <w:r>
        <w:rPr>
          <w:rFonts w:hint="eastAsia" w:ascii="仿宋_GB2312" w:hAnsi="宋体"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年度政府性基金预算财政拨款上年结转和结余</w:t>
      </w:r>
      <w:r>
        <w:rPr>
          <w:rFonts w:ascii="仿宋_GB2312" w:eastAsia="仿宋_GB2312" w:cs="黑体"/>
          <w:color w:val="auto"/>
          <w:sz w:val="30"/>
          <w:szCs w:val="30"/>
        </w:rPr>
        <w:t>0</w:t>
      </w:r>
      <w:r>
        <w:rPr>
          <w:rFonts w:hint="eastAsia" w:ascii="仿宋_GB2312" w:eastAsia="仿宋_GB2312" w:cs="黑体"/>
          <w:color w:val="auto"/>
          <w:sz w:val="30"/>
          <w:szCs w:val="30"/>
        </w:rPr>
        <w:t>万元，本年收入</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万元，本年支出</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万元，年末结转和结余</w:t>
      </w:r>
      <w:r>
        <w:rPr>
          <w:rFonts w:ascii="仿宋_GB2312" w:eastAsia="仿宋_GB2312" w:cs="黑体"/>
          <w:color w:val="auto"/>
          <w:sz w:val="30"/>
          <w:szCs w:val="30"/>
        </w:rPr>
        <w:t>0</w:t>
      </w:r>
      <w:r>
        <w:rPr>
          <w:rFonts w:hint="eastAsia" w:ascii="仿宋_GB2312" w:eastAsia="仿宋_GB2312" w:cs="黑体"/>
          <w:color w:val="auto"/>
          <w:sz w:val="30"/>
          <w:szCs w:val="30"/>
        </w:rPr>
        <w:t>万元。</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九、其他重要事项的情况说明</w:t>
      </w:r>
    </w:p>
    <w:p>
      <w:pPr>
        <w:outlineLvl w:val="0"/>
        <w:rPr>
          <w:rFonts w:hint="eastAsia" w:ascii="楷体_GB2312" w:eastAsia="楷体_GB2312" w:cs="黑体"/>
          <w:b/>
          <w:color w:val="auto"/>
          <w:sz w:val="30"/>
          <w:szCs w:val="30"/>
        </w:rPr>
      </w:pPr>
      <w:r>
        <w:rPr>
          <w:rFonts w:hint="eastAsia" w:ascii="楷体_GB2312" w:eastAsia="楷体_GB2312" w:cs="黑体"/>
          <w:b/>
          <w:color w:val="auto"/>
          <w:sz w:val="30"/>
          <w:szCs w:val="30"/>
        </w:rPr>
        <w:t>（一）机关运行经费支出情况</w:t>
      </w:r>
    </w:p>
    <w:p>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庄河市人民政府荷花山镇人民政府</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年度机关运行经费支出</w:t>
      </w:r>
      <w:r>
        <w:rPr>
          <w:rFonts w:hint="eastAsia" w:ascii="仿宋_GB2312" w:eastAsia="仿宋_GB2312" w:cs="黑体"/>
          <w:color w:val="auto"/>
          <w:sz w:val="30"/>
          <w:szCs w:val="30"/>
          <w:lang w:val="en-US" w:eastAsia="zh-CN"/>
        </w:rPr>
        <w:t>174.49</w:t>
      </w:r>
      <w:r>
        <w:rPr>
          <w:rFonts w:hint="eastAsia" w:ascii="仿宋_GB2312" w:eastAsia="仿宋_GB2312" w:cs="黑体"/>
          <w:color w:val="auto"/>
          <w:sz w:val="30"/>
          <w:szCs w:val="30"/>
        </w:rPr>
        <w:t>万元，比</w:t>
      </w:r>
      <w:r>
        <w:rPr>
          <w:rFonts w:hint="eastAsia" w:ascii="仿宋_GB2312" w:eastAsia="仿宋_GB2312" w:cs="黑体"/>
          <w:color w:val="auto"/>
          <w:sz w:val="30"/>
          <w:szCs w:val="30"/>
          <w:lang w:eastAsia="zh-CN"/>
        </w:rPr>
        <w:t>20</w:t>
      </w:r>
      <w:r>
        <w:rPr>
          <w:rFonts w:hint="eastAsia" w:ascii="仿宋_GB2312" w:eastAsia="仿宋_GB2312" w:cs="黑体"/>
          <w:color w:val="auto"/>
          <w:sz w:val="30"/>
          <w:szCs w:val="30"/>
          <w:lang w:val="en-US" w:eastAsia="zh-CN"/>
        </w:rPr>
        <w:t>21</w:t>
      </w:r>
      <w:r>
        <w:rPr>
          <w:rFonts w:hint="eastAsia" w:ascii="仿宋_GB2312" w:eastAsia="仿宋_GB2312" w:cs="黑体"/>
          <w:color w:val="auto"/>
          <w:sz w:val="30"/>
          <w:szCs w:val="30"/>
        </w:rPr>
        <w:t>年度减少</w:t>
      </w:r>
      <w:r>
        <w:rPr>
          <w:rFonts w:hint="eastAsia" w:ascii="仿宋_GB2312" w:eastAsia="仿宋_GB2312" w:cs="黑体"/>
          <w:color w:val="auto"/>
          <w:sz w:val="30"/>
          <w:szCs w:val="30"/>
          <w:lang w:val="en-US" w:eastAsia="zh-CN"/>
        </w:rPr>
        <w:t>8.74</w:t>
      </w:r>
      <w:r>
        <w:rPr>
          <w:rFonts w:hint="eastAsia" w:ascii="仿宋_GB2312" w:eastAsia="仿宋_GB2312" w:cs="黑体"/>
          <w:color w:val="auto"/>
          <w:sz w:val="30"/>
          <w:szCs w:val="30"/>
        </w:rPr>
        <w:t>万元，下降</w:t>
      </w:r>
      <w:r>
        <w:rPr>
          <w:rFonts w:hint="eastAsia" w:ascii="仿宋_GB2312" w:eastAsia="仿宋_GB2312" w:cs="黑体"/>
          <w:color w:val="auto"/>
          <w:sz w:val="30"/>
          <w:szCs w:val="30"/>
          <w:lang w:val="en-US" w:eastAsia="zh-CN"/>
        </w:rPr>
        <w:t>4.77</w:t>
      </w:r>
      <w:r>
        <w:rPr>
          <w:rFonts w:ascii="仿宋_GB2312" w:eastAsia="仿宋_GB2312" w:cs="黑体"/>
          <w:color w:val="auto"/>
          <w:sz w:val="30"/>
          <w:szCs w:val="30"/>
        </w:rPr>
        <w:t>%</w:t>
      </w:r>
      <w:r>
        <w:rPr>
          <w:rFonts w:hint="eastAsia" w:ascii="仿宋_GB2312" w:eastAsia="仿宋_GB2312" w:cs="黑体"/>
          <w:color w:val="auto"/>
          <w:sz w:val="30"/>
          <w:szCs w:val="30"/>
        </w:rPr>
        <w:t>。主要原因是：严格控制公用经费支出。</w:t>
      </w:r>
    </w:p>
    <w:p>
      <w:pPr>
        <w:widowControl/>
        <w:jc w:val="left"/>
        <w:outlineLvl w:val="0"/>
        <w:rPr>
          <w:rFonts w:ascii="楷体_GB2312" w:hAnsi="宋体" w:eastAsia="楷体_GB2312" w:cs="楷体"/>
          <w:b/>
          <w:bCs/>
          <w:color w:val="auto"/>
          <w:kern w:val="0"/>
          <w:sz w:val="30"/>
          <w:szCs w:val="30"/>
        </w:rPr>
      </w:pPr>
      <w:r>
        <w:rPr>
          <w:rFonts w:hint="eastAsia" w:ascii="楷体_GB2312" w:hAnsi="宋体" w:eastAsia="楷体_GB2312" w:cs="楷体"/>
          <w:b/>
          <w:bCs/>
          <w:color w:val="auto"/>
          <w:kern w:val="0"/>
          <w:sz w:val="30"/>
          <w:szCs w:val="30"/>
        </w:rPr>
        <w:t>（</w:t>
      </w:r>
      <w:r>
        <w:rPr>
          <w:rFonts w:hint="eastAsia" w:ascii="楷体_GB2312" w:hAnsi="宋体" w:eastAsia="楷体_GB2312" w:cs="楷体"/>
          <w:b/>
          <w:bCs/>
          <w:color w:val="auto"/>
          <w:kern w:val="0"/>
          <w:sz w:val="30"/>
          <w:szCs w:val="30"/>
          <w:lang w:val="en-US" w:eastAsia="zh-CN"/>
        </w:rPr>
        <w:t>二</w:t>
      </w:r>
      <w:r>
        <w:rPr>
          <w:rFonts w:hint="eastAsia" w:ascii="楷体_GB2312" w:hAnsi="宋体" w:eastAsia="楷体_GB2312" w:cs="楷体"/>
          <w:b/>
          <w:bCs/>
          <w:color w:val="auto"/>
          <w:kern w:val="0"/>
          <w:sz w:val="30"/>
          <w:szCs w:val="30"/>
        </w:rPr>
        <w:t>）</w:t>
      </w:r>
      <w:r>
        <w:rPr>
          <w:rFonts w:hint="eastAsia" w:ascii="楷体_GB2312" w:eastAsia="楷体_GB2312" w:cs="黑体"/>
          <w:b/>
          <w:color w:val="auto"/>
          <w:sz w:val="30"/>
          <w:szCs w:val="30"/>
        </w:rPr>
        <w:t>国有资产占有使用情况说明</w:t>
      </w:r>
    </w:p>
    <w:p>
      <w:pPr>
        <w:ind w:firstLine="600" w:firstLineChars="200"/>
        <w:rPr>
          <w:rFonts w:hint="eastAsia" w:ascii="仿宋_GB2312" w:eastAsia="仿宋_GB2312" w:cs="黑体"/>
          <w:color w:val="auto"/>
          <w:sz w:val="30"/>
          <w:szCs w:val="30"/>
        </w:rPr>
      </w:pPr>
      <w:r>
        <w:rPr>
          <w:rFonts w:hint="eastAsia" w:ascii="仿宋_GB2312" w:eastAsia="仿宋_GB2312" w:cs="黑体"/>
          <w:color w:val="auto"/>
          <w:sz w:val="30"/>
          <w:szCs w:val="30"/>
        </w:rPr>
        <w:t>国有资产占有使用情况说明为：截至</w:t>
      </w:r>
      <w:r>
        <w:rPr>
          <w:rFonts w:hint="eastAsia" w:ascii="仿宋_GB2312" w:eastAsia="仿宋_GB2312" w:cs="黑体"/>
          <w:color w:val="auto"/>
          <w:sz w:val="30"/>
          <w:szCs w:val="30"/>
          <w:lang w:eastAsia="zh-CN"/>
        </w:rPr>
        <w:t>202</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年</w:t>
      </w:r>
      <w:r>
        <w:rPr>
          <w:rFonts w:ascii="仿宋_GB2312" w:eastAsia="仿宋_GB2312" w:cs="黑体"/>
          <w:color w:val="auto"/>
          <w:sz w:val="30"/>
          <w:szCs w:val="30"/>
        </w:rPr>
        <w:t>12</w:t>
      </w:r>
      <w:r>
        <w:rPr>
          <w:rFonts w:hint="eastAsia" w:ascii="仿宋_GB2312" w:eastAsia="仿宋_GB2312" w:cs="黑体"/>
          <w:color w:val="auto"/>
          <w:sz w:val="30"/>
          <w:szCs w:val="30"/>
        </w:rPr>
        <w:t>月</w:t>
      </w:r>
      <w:r>
        <w:rPr>
          <w:rFonts w:ascii="仿宋_GB2312" w:eastAsia="仿宋_GB2312" w:cs="黑体"/>
          <w:color w:val="auto"/>
          <w:sz w:val="30"/>
          <w:szCs w:val="30"/>
        </w:rPr>
        <w:t>31</w:t>
      </w:r>
      <w:r>
        <w:rPr>
          <w:rFonts w:hint="eastAsia" w:ascii="仿宋_GB2312" w:eastAsia="仿宋_GB2312" w:cs="黑体"/>
          <w:color w:val="auto"/>
          <w:sz w:val="30"/>
          <w:szCs w:val="30"/>
        </w:rPr>
        <w:t>日，部门（单位）共有车辆</w:t>
      </w:r>
      <w:r>
        <w:rPr>
          <w:rFonts w:hint="eastAsia" w:ascii="仿宋_GB2312" w:eastAsia="仿宋_GB2312" w:cs="黑体"/>
          <w:color w:val="auto"/>
          <w:sz w:val="30"/>
          <w:szCs w:val="30"/>
          <w:lang w:val="en-US" w:eastAsia="zh-CN"/>
        </w:rPr>
        <w:t>2</w:t>
      </w:r>
      <w:r>
        <w:rPr>
          <w:rFonts w:hint="eastAsia" w:ascii="仿宋_GB2312" w:eastAsia="仿宋_GB2312" w:cs="黑体"/>
          <w:color w:val="auto"/>
          <w:sz w:val="30"/>
          <w:szCs w:val="30"/>
        </w:rPr>
        <w:t>辆，其中，副部（省）级以上领导用车</w:t>
      </w:r>
      <w:r>
        <w:rPr>
          <w:rFonts w:ascii="仿宋_GB2312" w:eastAsia="仿宋_GB2312" w:cs="黑体"/>
          <w:color w:val="auto"/>
          <w:sz w:val="30"/>
          <w:szCs w:val="30"/>
        </w:rPr>
        <w:t>0</w:t>
      </w:r>
      <w:r>
        <w:rPr>
          <w:rFonts w:hint="eastAsia" w:ascii="仿宋_GB2312" w:eastAsia="仿宋_GB2312" w:cs="黑体"/>
          <w:color w:val="auto"/>
          <w:sz w:val="30"/>
          <w:szCs w:val="30"/>
        </w:rPr>
        <w:t>辆、主要领导干部用车</w:t>
      </w:r>
      <w:r>
        <w:rPr>
          <w:rFonts w:ascii="仿宋_GB2312" w:eastAsia="仿宋_GB2312" w:cs="黑体"/>
          <w:color w:val="auto"/>
          <w:sz w:val="30"/>
          <w:szCs w:val="30"/>
        </w:rPr>
        <w:t>0</w:t>
      </w:r>
      <w:r>
        <w:rPr>
          <w:rFonts w:hint="eastAsia" w:ascii="仿宋_GB2312" w:eastAsia="仿宋_GB2312" w:cs="黑体"/>
          <w:color w:val="auto"/>
          <w:sz w:val="30"/>
          <w:szCs w:val="30"/>
        </w:rPr>
        <w:t>辆、机要通信用车</w:t>
      </w:r>
      <w:r>
        <w:rPr>
          <w:rFonts w:ascii="仿宋_GB2312" w:eastAsia="仿宋_GB2312" w:cs="黑体"/>
          <w:color w:val="auto"/>
          <w:sz w:val="30"/>
          <w:szCs w:val="30"/>
        </w:rPr>
        <w:t>0</w:t>
      </w:r>
      <w:r>
        <w:rPr>
          <w:rFonts w:hint="eastAsia" w:ascii="仿宋_GB2312" w:eastAsia="仿宋_GB2312" w:cs="黑体"/>
          <w:color w:val="auto"/>
          <w:sz w:val="30"/>
          <w:szCs w:val="30"/>
        </w:rPr>
        <w:t>辆、应急保障用车</w:t>
      </w:r>
      <w:r>
        <w:rPr>
          <w:rFonts w:hint="eastAsia" w:ascii="仿宋_GB2312" w:eastAsia="仿宋_GB2312" w:cs="黑体"/>
          <w:color w:val="auto"/>
          <w:sz w:val="30"/>
          <w:szCs w:val="30"/>
          <w:lang w:val="en-US" w:eastAsia="zh-CN"/>
        </w:rPr>
        <w:t>0</w:t>
      </w:r>
      <w:r>
        <w:rPr>
          <w:rFonts w:hint="eastAsia" w:ascii="仿宋_GB2312" w:eastAsia="仿宋_GB2312" w:cs="黑体"/>
          <w:color w:val="auto"/>
          <w:sz w:val="30"/>
          <w:szCs w:val="30"/>
        </w:rPr>
        <w:t>辆、执法执勤用车</w:t>
      </w:r>
      <w:r>
        <w:rPr>
          <w:rFonts w:ascii="仿宋_GB2312" w:eastAsia="仿宋_GB2312" w:cs="黑体"/>
          <w:color w:val="auto"/>
          <w:sz w:val="30"/>
          <w:szCs w:val="30"/>
        </w:rPr>
        <w:t>0</w:t>
      </w:r>
      <w:r>
        <w:rPr>
          <w:rFonts w:hint="eastAsia" w:ascii="仿宋_GB2312" w:eastAsia="仿宋_GB2312" w:cs="黑体"/>
          <w:color w:val="auto"/>
          <w:sz w:val="30"/>
          <w:szCs w:val="30"/>
        </w:rPr>
        <w:t>辆、特种专业技术用车</w:t>
      </w:r>
      <w:r>
        <w:rPr>
          <w:rFonts w:ascii="仿宋_GB2312" w:eastAsia="仿宋_GB2312" w:cs="黑体"/>
          <w:color w:val="auto"/>
          <w:sz w:val="30"/>
          <w:szCs w:val="30"/>
        </w:rPr>
        <w:t>0</w:t>
      </w:r>
      <w:r>
        <w:rPr>
          <w:rFonts w:hint="eastAsia" w:ascii="仿宋_GB2312" w:eastAsia="仿宋_GB2312" w:cs="黑体"/>
          <w:color w:val="auto"/>
          <w:sz w:val="30"/>
          <w:szCs w:val="30"/>
        </w:rPr>
        <w:t>辆、离退休干部用车、其他用车</w:t>
      </w:r>
      <w:r>
        <w:rPr>
          <w:rFonts w:ascii="仿宋_GB2312" w:eastAsia="仿宋_GB2312" w:cs="黑体"/>
          <w:color w:val="auto"/>
          <w:sz w:val="30"/>
          <w:szCs w:val="30"/>
        </w:rPr>
        <w:t>2</w:t>
      </w:r>
      <w:r>
        <w:rPr>
          <w:rFonts w:hint="eastAsia" w:ascii="仿宋_GB2312" w:eastAsia="仿宋_GB2312" w:cs="黑体"/>
          <w:color w:val="auto"/>
          <w:sz w:val="30"/>
          <w:szCs w:val="30"/>
        </w:rPr>
        <w:t>辆，其他用车主要是环卫用车；单位价值</w:t>
      </w:r>
      <w:r>
        <w:rPr>
          <w:rFonts w:ascii="仿宋_GB2312" w:eastAsia="仿宋_GB2312" w:cs="黑体"/>
          <w:color w:val="auto"/>
          <w:sz w:val="30"/>
          <w:szCs w:val="30"/>
        </w:rPr>
        <w:t>50</w:t>
      </w:r>
      <w:r>
        <w:rPr>
          <w:rFonts w:hint="eastAsia" w:ascii="仿宋_GB2312" w:eastAsia="仿宋_GB2312" w:cs="黑体"/>
          <w:color w:val="auto"/>
          <w:sz w:val="30"/>
          <w:szCs w:val="30"/>
        </w:rPr>
        <w:t>万元（含）以上通用设备</w:t>
      </w:r>
      <w:r>
        <w:rPr>
          <w:rFonts w:ascii="仿宋_GB2312" w:eastAsia="仿宋_GB2312" w:cs="黑体"/>
          <w:color w:val="auto"/>
          <w:sz w:val="30"/>
          <w:szCs w:val="30"/>
        </w:rPr>
        <w:t>0</w:t>
      </w:r>
      <w:r>
        <w:rPr>
          <w:rFonts w:hint="eastAsia" w:ascii="仿宋_GB2312" w:eastAsia="仿宋_GB2312" w:cs="黑体"/>
          <w:color w:val="auto"/>
          <w:sz w:val="30"/>
          <w:szCs w:val="30"/>
        </w:rPr>
        <w:t>台（套）；单位价值</w:t>
      </w:r>
      <w:r>
        <w:rPr>
          <w:rFonts w:ascii="仿宋_GB2312" w:eastAsia="仿宋_GB2312" w:cs="黑体"/>
          <w:color w:val="auto"/>
          <w:sz w:val="30"/>
          <w:szCs w:val="30"/>
        </w:rPr>
        <w:t>100</w:t>
      </w:r>
      <w:r>
        <w:rPr>
          <w:rFonts w:hint="eastAsia" w:ascii="仿宋_GB2312" w:eastAsia="仿宋_GB2312" w:cs="黑体"/>
          <w:color w:val="auto"/>
          <w:sz w:val="30"/>
          <w:szCs w:val="30"/>
        </w:rPr>
        <w:t>万元以上专用设备</w:t>
      </w:r>
      <w:r>
        <w:rPr>
          <w:rFonts w:ascii="仿宋_GB2312" w:eastAsia="仿宋_GB2312" w:cs="黑体"/>
          <w:color w:val="auto"/>
          <w:sz w:val="30"/>
          <w:szCs w:val="30"/>
        </w:rPr>
        <w:t>0</w:t>
      </w:r>
      <w:r>
        <w:rPr>
          <w:rFonts w:hint="eastAsia" w:ascii="仿宋_GB2312" w:eastAsia="仿宋_GB2312" w:cs="黑体"/>
          <w:color w:val="auto"/>
          <w:sz w:val="30"/>
          <w:szCs w:val="30"/>
        </w:rPr>
        <w:t>台（套）。</w:t>
      </w:r>
    </w:p>
    <w:p>
      <w:pPr>
        <w:widowControl/>
        <w:jc w:val="left"/>
        <w:outlineLvl w:val="0"/>
        <w:rPr>
          <w:rFonts w:hint="eastAsia" w:ascii="宋体" w:cs="宋体"/>
          <w:color w:val="auto"/>
          <w:kern w:val="0"/>
          <w:sz w:val="24"/>
        </w:rPr>
      </w:pPr>
      <w:r>
        <w:rPr>
          <w:rFonts w:hint="eastAsia" w:ascii="楷体_GB2312" w:hAnsi="宋体" w:eastAsia="楷体_GB2312" w:cs="楷体"/>
          <w:b/>
          <w:bCs/>
          <w:color w:val="auto"/>
          <w:kern w:val="0"/>
          <w:sz w:val="30"/>
          <w:szCs w:val="30"/>
        </w:rPr>
        <w:t>（</w:t>
      </w:r>
      <w:r>
        <w:rPr>
          <w:rFonts w:hint="eastAsia" w:ascii="楷体_GB2312" w:hAnsi="宋体" w:eastAsia="楷体_GB2312" w:cs="楷体"/>
          <w:b/>
          <w:bCs/>
          <w:color w:val="auto"/>
          <w:kern w:val="0"/>
          <w:sz w:val="30"/>
          <w:szCs w:val="30"/>
          <w:lang w:val="en-US" w:eastAsia="zh-CN"/>
        </w:rPr>
        <w:t>三</w:t>
      </w:r>
      <w:r>
        <w:rPr>
          <w:rFonts w:hint="eastAsia" w:ascii="楷体_GB2312" w:hAnsi="宋体" w:eastAsia="楷体_GB2312" w:cs="楷体"/>
          <w:b/>
          <w:bCs/>
          <w:color w:val="auto"/>
          <w:kern w:val="0"/>
          <w:sz w:val="30"/>
          <w:szCs w:val="30"/>
        </w:rPr>
        <w:t>）预算绩效管理情况</w:t>
      </w:r>
    </w:p>
    <w:p>
      <w:pPr>
        <w:autoSpaceDE w:val="0"/>
        <w:autoSpaceDN w:val="0"/>
        <w:adjustRightInd w:val="0"/>
        <w:ind w:firstLine="600" w:firstLineChars="200"/>
        <w:rPr>
          <w:rFonts w:ascii="仿宋_GB2312" w:hAnsi="Times New Roman" w:eastAsia="仿宋_GB2312"/>
          <w:color w:val="auto"/>
          <w:kern w:val="0"/>
          <w:sz w:val="30"/>
          <w:szCs w:val="30"/>
        </w:rPr>
      </w:pPr>
      <w:r>
        <w:rPr>
          <w:rFonts w:hint="eastAsia" w:ascii="仿宋_GB2312" w:eastAsia="仿宋_GB2312"/>
          <w:color w:val="auto"/>
          <w:sz w:val="30"/>
          <w:szCs w:val="30"/>
        </w:rPr>
        <w:t>本部门</w:t>
      </w:r>
      <w:r>
        <w:rPr>
          <w:rFonts w:hint="eastAsia" w:ascii="仿宋_GB2312" w:eastAsia="仿宋_GB2312"/>
          <w:color w:val="auto"/>
          <w:sz w:val="30"/>
          <w:szCs w:val="30"/>
          <w:lang w:eastAsia="zh-CN"/>
        </w:rPr>
        <w:t>202</w:t>
      </w:r>
      <w:r>
        <w:rPr>
          <w:rFonts w:hint="eastAsia" w:ascii="仿宋_GB2312" w:eastAsia="仿宋_GB2312"/>
          <w:color w:val="auto"/>
          <w:sz w:val="30"/>
          <w:szCs w:val="30"/>
          <w:lang w:val="en-US" w:eastAsia="zh-CN"/>
        </w:rPr>
        <w:t>2</w:t>
      </w:r>
      <w:r>
        <w:rPr>
          <w:rFonts w:hint="eastAsia" w:ascii="仿宋_GB2312" w:eastAsia="仿宋_GB2312"/>
          <w:color w:val="auto"/>
          <w:sz w:val="30"/>
          <w:szCs w:val="30"/>
        </w:rPr>
        <w:t>年度项目未纳入绩效评价范围。</w:t>
      </w:r>
    </w:p>
    <w:p>
      <w:pPr>
        <w:jc w:val="center"/>
        <w:rPr>
          <w:rFonts w:hint="eastAsia" w:ascii="黑体" w:eastAsia="黑体" w:cs="黑体"/>
          <w:color w:val="auto"/>
          <w:sz w:val="30"/>
          <w:szCs w:val="30"/>
        </w:rPr>
      </w:pPr>
      <w:r>
        <w:rPr>
          <w:rFonts w:ascii="黑体" w:eastAsia="黑体" w:cs="黑体"/>
          <w:color w:val="auto"/>
          <w:sz w:val="30"/>
          <w:szCs w:val="30"/>
        </w:rPr>
        <w:br w:type="page"/>
      </w:r>
      <w:r>
        <w:rPr>
          <w:rFonts w:hint="eastAsia" w:ascii="黑体" w:eastAsia="黑体" w:cs="黑体"/>
          <w:color w:val="auto"/>
          <w:sz w:val="30"/>
          <w:szCs w:val="30"/>
        </w:rPr>
        <w:t>第四部分</w:t>
      </w:r>
      <w:r>
        <w:rPr>
          <w:rFonts w:ascii="黑体" w:eastAsia="黑体" w:cs="黑体"/>
          <w:color w:val="auto"/>
          <w:sz w:val="30"/>
          <w:szCs w:val="30"/>
        </w:rPr>
        <w:t xml:space="preserve">    </w:t>
      </w:r>
      <w:r>
        <w:rPr>
          <w:rFonts w:hint="eastAsia" w:ascii="黑体" w:eastAsia="黑体" w:cs="黑体"/>
          <w:color w:val="auto"/>
          <w:sz w:val="30"/>
          <w:szCs w:val="30"/>
        </w:rPr>
        <w:t>名词解释</w:t>
      </w:r>
    </w:p>
    <w:p>
      <w:pPr>
        <w:rPr>
          <w:rFonts w:ascii="仿宋_GB2312" w:hAnsi="宋体" w:eastAsia="仿宋_GB2312" w:cs="仿宋_GB2312"/>
          <w:color w:val="auto"/>
          <w:sz w:val="30"/>
          <w:szCs w:val="30"/>
        </w:rPr>
      </w:pPr>
    </w:p>
    <w:p>
      <w:pPr>
        <w:rPr>
          <w:rFonts w:hint="eastAsia" w:ascii="仿宋_GB2312" w:eastAsia="仿宋_GB2312" w:cs="黑体"/>
          <w:color w:val="auto"/>
          <w:sz w:val="30"/>
          <w:szCs w:val="30"/>
        </w:rPr>
      </w:pPr>
      <w:r>
        <w:rPr>
          <w:rFonts w:hint="eastAsia" w:ascii="仿宋_GB2312" w:eastAsia="仿宋_GB2312" w:cs="黑体"/>
          <w:color w:val="auto"/>
          <w:sz w:val="30"/>
          <w:szCs w:val="30"/>
        </w:rPr>
        <w:t>一、财政拨款收入：指单位本年度从本级财政部门取得的财政拨款，包括一般公共预算财政拨款和政府性基金预算财政拨款。</w:t>
      </w:r>
    </w:p>
    <w:p>
      <w:pPr>
        <w:rPr>
          <w:rFonts w:hint="eastAsia" w:ascii="仿宋_GB2312" w:eastAsia="仿宋_GB2312" w:cs="黑体"/>
          <w:color w:val="auto"/>
          <w:sz w:val="30"/>
          <w:szCs w:val="30"/>
        </w:rPr>
      </w:pPr>
      <w:r>
        <w:rPr>
          <w:rFonts w:hint="eastAsia" w:ascii="仿宋_GB2312" w:eastAsia="仿宋_GB2312" w:cs="黑体"/>
          <w:color w:val="auto"/>
          <w:sz w:val="30"/>
          <w:szCs w:val="30"/>
        </w:rPr>
        <w:t>二、事业收入：指事业单位开展专业业务活动及其辅助活动取得的收入。主要是：城乡环境卫生收入、小学教育。</w:t>
      </w:r>
    </w:p>
    <w:p>
      <w:pPr>
        <w:rPr>
          <w:rFonts w:hint="eastAsia" w:ascii="仿宋_GB2312" w:eastAsia="仿宋_GB2312" w:cs="黑体"/>
          <w:color w:val="auto"/>
          <w:sz w:val="30"/>
          <w:szCs w:val="30"/>
        </w:rPr>
      </w:pPr>
      <w:r>
        <w:rPr>
          <w:rFonts w:hint="eastAsia" w:ascii="仿宋_GB2312" w:eastAsia="仿宋_GB2312" w:cs="黑体"/>
          <w:color w:val="auto"/>
          <w:sz w:val="30"/>
          <w:szCs w:val="30"/>
        </w:rPr>
        <w:t>三、经营收入：指事业单位在专业业务活动及其辅助活动之外开展非独立核算经营活动取得的收入。</w:t>
      </w:r>
    </w:p>
    <w:p>
      <w:pPr>
        <w:rPr>
          <w:rFonts w:hint="eastAsia" w:ascii="仿宋_GB2312" w:eastAsia="仿宋_GB2312" w:cs="黑体"/>
          <w:color w:val="auto"/>
          <w:sz w:val="30"/>
          <w:szCs w:val="30"/>
        </w:rPr>
      </w:pPr>
      <w:r>
        <w:rPr>
          <w:rFonts w:hint="eastAsia" w:ascii="仿宋_GB2312" w:eastAsia="仿宋_GB2312" w:cs="黑体"/>
          <w:color w:val="auto"/>
          <w:sz w:val="30"/>
          <w:szCs w:val="30"/>
        </w:rPr>
        <w:t>四、其他收入：指单位取得的除“财政拨款收入”、“事业收入”、“经营收入”等以外的收入。主要是：城乡环境卫生收入、小学教育收入等。</w:t>
      </w:r>
    </w:p>
    <w:p>
      <w:pPr>
        <w:rPr>
          <w:rFonts w:hint="eastAsia" w:ascii="仿宋_GB2312" w:eastAsia="仿宋_GB2312" w:cs="黑体"/>
          <w:color w:val="auto"/>
          <w:sz w:val="30"/>
          <w:szCs w:val="30"/>
        </w:rPr>
      </w:pPr>
      <w:r>
        <w:rPr>
          <w:rFonts w:hint="eastAsia" w:ascii="仿宋_GB2312" w:eastAsia="仿宋_GB2312" w:cs="黑体"/>
          <w:color w:val="auto"/>
          <w:sz w:val="30"/>
          <w:szCs w:val="30"/>
        </w:rPr>
        <w:t>五、年初结转和结余：指以前年度尚未完成、结转到本年按有关规定继续使用的资金。</w:t>
      </w:r>
    </w:p>
    <w:p>
      <w:pPr>
        <w:rPr>
          <w:rFonts w:hint="eastAsia" w:ascii="仿宋_GB2312" w:eastAsia="仿宋_GB2312" w:cs="黑体"/>
          <w:color w:val="auto"/>
          <w:sz w:val="30"/>
          <w:szCs w:val="30"/>
        </w:rPr>
      </w:pPr>
      <w:r>
        <w:rPr>
          <w:rFonts w:hint="eastAsia" w:ascii="仿宋_GB2312" w:eastAsia="仿宋_GB2312" w:cs="黑体"/>
          <w:color w:val="auto"/>
          <w:sz w:val="30"/>
          <w:szCs w:val="30"/>
        </w:rPr>
        <w:t>六、年末结转和结余：指本年度或以前年度预算安排、因客观条件发生变化无法按原计划实施，需延迟到以后年度按有关规定继续使用的资金。</w:t>
      </w:r>
    </w:p>
    <w:p>
      <w:pPr>
        <w:rPr>
          <w:rFonts w:hint="eastAsia" w:ascii="仿宋_GB2312" w:eastAsia="仿宋_GB2312" w:cs="黑体"/>
          <w:color w:val="auto"/>
          <w:sz w:val="30"/>
          <w:szCs w:val="30"/>
        </w:rPr>
      </w:pPr>
      <w:r>
        <w:rPr>
          <w:rFonts w:hint="eastAsia" w:ascii="仿宋_GB2312" w:eastAsia="仿宋_GB2312" w:cs="黑体"/>
          <w:color w:val="auto"/>
          <w:sz w:val="30"/>
          <w:szCs w:val="30"/>
        </w:rPr>
        <w:t>七、基本支出：指单位为保障机构正常运转、完成日常工作任务而发生的各项支出。</w:t>
      </w:r>
    </w:p>
    <w:p>
      <w:pPr>
        <w:rPr>
          <w:rFonts w:hint="eastAsia" w:ascii="仿宋_GB2312" w:eastAsia="仿宋_GB2312" w:cs="黑体"/>
          <w:color w:val="auto"/>
          <w:sz w:val="30"/>
          <w:szCs w:val="30"/>
        </w:rPr>
      </w:pPr>
      <w:r>
        <w:rPr>
          <w:rFonts w:hint="eastAsia" w:ascii="仿宋_GB2312" w:eastAsia="仿宋_GB2312" w:cs="黑体"/>
          <w:color w:val="auto"/>
          <w:sz w:val="30"/>
          <w:szCs w:val="30"/>
        </w:rPr>
        <w:t>八、项目支出：指单位为完成特定的行政工作任务或事业发展目标，在基本支出之外发生的各项支出。</w:t>
      </w:r>
    </w:p>
    <w:p>
      <w:pPr>
        <w:rPr>
          <w:rFonts w:hint="eastAsia" w:ascii="仿宋_GB2312" w:eastAsia="仿宋_GB2312" w:cs="黑体"/>
          <w:color w:val="auto"/>
          <w:sz w:val="30"/>
          <w:szCs w:val="30"/>
        </w:rPr>
      </w:pPr>
      <w:r>
        <w:rPr>
          <w:rFonts w:hint="eastAsia" w:ascii="仿宋_GB2312" w:eastAsia="仿宋_GB2312" w:cs="黑体"/>
          <w:color w:val="auto"/>
          <w:sz w:val="30"/>
          <w:szCs w:val="30"/>
        </w:rPr>
        <w:t>九、经营支出：指事业单位在专业活动及辅助活动之外开展非独立核算经营活动发生的支出。</w:t>
      </w:r>
    </w:p>
    <w:p>
      <w:pPr>
        <w:rPr>
          <w:rFonts w:hint="eastAsia" w:ascii="仿宋_GB2312" w:eastAsia="仿宋_GB2312" w:cs="黑体"/>
          <w:color w:val="auto"/>
          <w:sz w:val="30"/>
          <w:szCs w:val="30"/>
        </w:rPr>
      </w:pPr>
      <w:r>
        <w:rPr>
          <w:rFonts w:hint="eastAsia" w:ascii="仿宋_GB2312" w:eastAsia="仿宋_GB2312" w:cs="黑体"/>
          <w:color w:val="auto"/>
          <w:sz w:val="30"/>
          <w:szCs w:val="30"/>
        </w:rPr>
        <w:t>十、“三公”经费：指单位使用本级财政拨款安排的因公出国（境）费、公务用车购置及运行费和公务接待费。其中</w:t>
      </w:r>
      <w:r>
        <w:rPr>
          <w:rFonts w:ascii="仿宋_GB2312" w:eastAsia="仿宋_GB2312" w:cs="黑体"/>
          <w:color w:val="auto"/>
          <w:sz w:val="30"/>
          <w:szCs w:val="30"/>
        </w:rPr>
        <w:t>:</w:t>
      </w:r>
      <w:r>
        <w:rPr>
          <w:rFonts w:hint="eastAsia" w:ascii="仿宋_GB2312" w:eastAsia="仿宋_GB2312" w:cs="黑体"/>
          <w:color w:val="auto"/>
          <w:sz w:val="30"/>
          <w:szCs w:val="30"/>
        </w:rPr>
        <w:t>因公出国（境）费反映单位参加国际合作交流、重大项目洽谈、境外培训研修等的国际旅费、国外城市间交通费、住宿费、伙食费、培训费、公杂费等支出；公务接待费反映全国性专业会议、国家重大政策调研、专项检查以及外事团组接待交流等执行公务或开展业务所需住宿费、交通费、伙食费等支出；公务用车购置及运行费反映编制内公务车辆的报废更新，以及用于安排市内因公出差、公务文件交换、日常工作开展等所需公务用车燃料费、维修费、过路过桥费、保险费等支出</w:t>
      </w:r>
      <w:r>
        <w:rPr>
          <w:rFonts w:hint="eastAsia" w:ascii="仿宋_GB2312" w:eastAsia="仿宋_GB2312" w:cs="黑体"/>
          <w:color w:val="auto"/>
          <w:sz w:val="32"/>
          <w:szCs w:val="30"/>
        </w:rPr>
        <w:t>。</w:t>
      </w:r>
    </w:p>
    <w:p>
      <w:pPr>
        <w:rPr>
          <w:rFonts w:hint="eastAsia" w:ascii="仿宋_GB2312" w:eastAsia="仿宋_GB2312" w:cs="黑体"/>
          <w:color w:val="auto"/>
          <w:sz w:val="30"/>
          <w:szCs w:val="30"/>
        </w:rPr>
      </w:pPr>
      <w:r>
        <w:rPr>
          <w:rFonts w:hint="eastAsia" w:ascii="仿宋_GB2312" w:eastAsia="仿宋_GB2312" w:cs="黑体"/>
          <w:color w:val="auto"/>
          <w:sz w:val="30"/>
          <w:szCs w:val="30"/>
        </w:rPr>
        <w:t>十一、机关运行经费：指行政单位和参照公务员法管理的事业单位使用一般公共预算财政拨款安排的基本支出中的日常公用经费支出。</w:t>
      </w:r>
    </w:p>
    <w:p>
      <w:pPr>
        <w:rPr>
          <w:rFonts w:hint="eastAsia"/>
          <w:color w:val="auto"/>
        </w:rPr>
      </w:pPr>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rPr>
    </w:pPr>
  </w:p>
  <w:p>
    <w:pPr>
      <w:pStyle w:val="6"/>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hint="eastAsia"/>
      </w:rPr>
    </w:pPr>
    <w:r>
      <w:fldChar w:fldCharType="begin"/>
    </w:r>
    <w:r>
      <w:instrText xml:space="preserve"> PAGE   \* MERGEFORMAT </w:instrText>
    </w:r>
    <w:r>
      <w:fldChar w:fldCharType="separate"/>
    </w:r>
    <w:r>
      <w:rPr>
        <w:rFonts w:hint="eastAsia"/>
        <w:lang w:val="zh-CN"/>
      </w:rPr>
      <w:t>34</w:t>
    </w:r>
    <w:r>
      <w:rPr>
        <w:lang w:val="zh-CN"/>
      </w:rPr>
      <w:fldChar w:fldCharType="end"/>
    </w:r>
  </w:p>
  <w:p>
    <w:pPr>
      <w:pStyle w:val="6"/>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531AEC"/>
    <w:multiLevelType w:val="multilevel"/>
    <w:tmpl w:val="7D531AEC"/>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Mjc5YjBlOTAzZTFkMTQ5YjcwOWYzZGEyNzZjZDEifQ=="/>
  </w:docVars>
  <w:rsids>
    <w:rsidRoot w:val="007849ED"/>
    <w:rsid w:val="00001B72"/>
    <w:rsid w:val="00004661"/>
    <w:rsid w:val="00005093"/>
    <w:rsid w:val="00005880"/>
    <w:rsid w:val="00010680"/>
    <w:rsid w:val="00047008"/>
    <w:rsid w:val="00056059"/>
    <w:rsid w:val="0006403E"/>
    <w:rsid w:val="00084DEF"/>
    <w:rsid w:val="000853C7"/>
    <w:rsid w:val="000C1C15"/>
    <w:rsid w:val="000D664F"/>
    <w:rsid w:val="000E2BD0"/>
    <w:rsid w:val="00120589"/>
    <w:rsid w:val="0012403A"/>
    <w:rsid w:val="00132527"/>
    <w:rsid w:val="00150938"/>
    <w:rsid w:val="00151390"/>
    <w:rsid w:val="00161F8E"/>
    <w:rsid w:val="00197320"/>
    <w:rsid w:val="00197EDB"/>
    <w:rsid w:val="001A0161"/>
    <w:rsid w:val="001A36FD"/>
    <w:rsid w:val="001A4319"/>
    <w:rsid w:val="001B0B85"/>
    <w:rsid w:val="001B1E9B"/>
    <w:rsid w:val="001D4B2A"/>
    <w:rsid w:val="001E4DF8"/>
    <w:rsid w:val="00206812"/>
    <w:rsid w:val="00221930"/>
    <w:rsid w:val="00227627"/>
    <w:rsid w:val="002312DF"/>
    <w:rsid w:val="002355F5"/>
    <w:rsid w:val="00236B32"/>
    <w:rsid w:val="00251B02"/>
    <w:rsid w:val="00291A30"/>
    <w:rsid w:val="002A05AB"/>
    <w:rsid w:val="002B144A"/>
    <w:rsid w:val="002C02F8"/>
    <w:rsid w:val="002C2B9C"/>
    <w:rsid w:val="002D4F3E"/>
    <w:rsid w:val="002F47E2"/>
    <w:rsid w:val="00313D9E"/>
    <w:rsid w:val="00317E92"/>
    <w:rsid w:val="00346D89"/>
    <w:rsid w:val="0035579E"/>
    <w:rsid w:val="00377F12"/>
    <w:rsid w:val="0039586A"/>
    <w:rsid w:val="003A0884"/>
    <w:rsid w:val="003A45C1"/>
    <w:rsid w:val="003C403C"/>
    <w:rsid w:val="003D2113"/>
    <w:rsid w:val="003D5468"/>
    <w:rsid w:val="00411855"/>
    <w:rsid w:val="004210E1"/>
    <w:rsid w:val="0042145B"/>
    <w:rsid w:val="00423F8D"/>
    <w:rsid w:val="00462490"/>
    <w:rsid w:val="0047084E"/>
    <w:rsid w:val="0047209A"/>
    <w:rsid w:val="00474EC7"/>
    <w:rsid w:val="004776D2"/>
    <w:rsid w:val="00484B12"/>
    <w:rsid w:val="004877EE"/>
    <w:rsid w:val="00491A50"/>
    <w:rsid w:val="00496AC8"/>
    <w:rsid w:val="004A2EFB"/>
    <w:rsid w:val="004B6747"/>
    <w:rsid w:val="004D3759"/>
    <w:rsid w:val="0052139E"/>
    <w:rsid w:val="00531FBB"/>
    <w:rsid w:val="0053601A"/>
    <w:rsid w:val="00543EE6"/>
    <w:rsid w:val="00550378"/>
    <w:rsid w:val="00590C5B"/>
    <w:rsid w:val="005A29B5"/>
    <w:rsid w:val="005C1AE1"/>
    <w:rsid w:val="005C6983"/>
    <w:rsid w:val="0060165E"/>
    <w:rsid w:val="00604899"/>
    <w:rsid w:val="00606CD5"/>
    <w:rsid w:val="00610111"/>
    <w:rsid w:val="00617C08"/>
    <w:rsid w:val="00617CAD"/>
    <w:rsid w:val="00626260"/>
    <w:rsid w:val="00657916"/>
    <w:rsid w:val="0067205E"/>
    <w:rsid w:val="00680C85"/>
    <w:rsid w:val="006A1977"/>
    <w:rsid w:val="006B04A6"/>
    <w:rsid w:val="006B7EE2"/>
    <w:rsid w:val="006C7697"/>
    <w:rsid w:val="006D0140"/>
    <w:rsid w:val="006D7C87"/>
    <w:rsid w:val="006E4B5E"/>
    <w:rsid w:val="006E5A06"/>
    <w:rsid w:val="006E7537"/>
    <w:rsid w:val="00720D30"/>
    <w:rsid w:val="007258AF"/>
    <w:rsid w:val="00750976"/>
    <w:rsid w:val="007849ED"/>
    <w:rsid w:val="00795870"/>
    <w:rsid w:val="007A1245"/>
    <w:rsid w:val="007C2650"/>
    <w:rsid w:val="007C3120"/>
    <w:rsid w:val="007E56FB"/>
    <w:rsid w:val="008022E5"/>
    <w:rsid w:val="008338E0"/>
    <w:rsid w:val="00837757"/>
    <w:rsid w:val="0084785D"/>
    <w:rsid w:val="00853EE7"/>
    <w:rsid w:val="00864028"/>
    <w:rsid w:val="008D0671"/>
    <w:rsid w:val="008D26E9"/>
    <w:rsid w:val="008E218D"/>
    <w:rsid w:val="00900355"/>
    <w:rsid w:val="009060F7"/>
    <w:rsid w:val="00911F99"/>
    <w:rsid w:val="00914837"/>
    <w:rsid w:val="00931525"/>
    <w:rsid w:val="00945330"/>
    <w:rsid w:val="00976438"/>
    <w:rsid w:val="00994588"/>
    <w:rsid w:val="00997715"/>
    <w:rsid w:val="00A1464C"/>
    <w:rsid w:val="00A31723"/>
    <w:rsid w:val="00A47F16"/>
    <w:rsid w:val="00A63EB3"/>
    <w:rsid w:val="00A72734"/>
    <w:rsid w:val="00A8320C"/>
    <w:rsid w:val="00AA4E4D"/>
    <w:rsid w:val="00AA721B"/>
    <w:rsid w:val="00AC13B8"/>
    <w:rsid w:val="00AC71CC"/>
    <w:rsid w:val="00AD0416"/>
    <w:rsid w:val="00AE2A2C"/>
    <w:rsid w:val="00B01EB3"/>
    <w:rsid w:val="00B233CA"/>
    <w:rsid w:val="00B40B17"/>
    <w:rsid w:val="00B7379C"/>
    <w:rsid w:val="00B817CC"/>
    <w:rsid w:val="00BA03FF"/>
    <w:rsid w:val="00BA71B6"/>
    <w:rsid w:val="00BB3AD1"/>
    <w:rsid w:val="00BB716A"/>
    <w:rsid w:val="00BD51B3"/>
    <w:rsid w:val="00BF1EF0"/>
    <w:rsid w:val="00C0146E"/>
    <w:rsid w:val="00C12543"/>
    <w:rsid w:val="00C220A3"/>
    <w:rsid w:val="00C2518F"/>
    <w:rsid w:val="00C3494C"/>
    <w:rsid w:val="00C63D30"/>
    <w:rsid w:val="00C651BA"/>
    <w:rsid w:val="00C762FE"/>
    <w:rsid w:val="00C76418"/>
    <w:rsid w:val="00C86F9A"/>
    <w:rsid w:val="00CC20B6"/>
    <w:rsid w:val="00CC3891"/>
    <w:rsid w:val="00CC6414"/>
    <w:rsid w:val="00CD069C"/>
    <w:rsid w:val="00CD0850"/>
    <w:rsid w:val="00CF4CD4"/>
    <w:rsid w:val="00D12DF8"/>
    <w:rsid w:val="00D27B4E"/>
    <w:rsid w:val="00D30782"/>
    <w:rsid w:val="00D32CD9"/>
    <w:rsid w:val="00D50AE2"/>
    <w:rsid w:val="00D77D0C"/>
    <w:rsid w:val="00D86EC7"/>
    <w:rsid w:val="00D91B5C"/>
    <w:rsid w:val="00D976AE"/>
    <w:rsid w:val="00DA310D"/>
    <w:rsid w:val="00DD51F8"/>
    <w:rsid w:val="00DD58E6"/>
    <w:rsid w:val="00DE655B"/>
    <w:rsid w:val="00E01781"/>
    <w:rsid w:val="00E22017"/>
    <w:rsid w:val="00E26976"/>
    <w:rsid w:val="00E34540"/>
    <w:rsid w:val="00E414D5"/>
    <w:rsid w:val="00E70309"/>
    <w:rsid w:val="00ED6569"/>
    <w:rsid w:val="00EE59DC"/>
    <w:rsid w:val="00EF0B47"/>
    <w:rsid w:val="00F0071D"/>
    <w:rsid w:val="00F06F85"/>
    <w:rsid w:val="00F22BEF"/>
    <w:rsid w:val="00F34140"/>
    <w:rsid w:val="00F875B9"/>
    <w:rsid w:val="00FA0BCC"/>
    <w:rsid w:val="00FA5279"/>
    <w:rsid w:val="00FE5316"/>
    <w:rsid w:val="00FF4994"/>
    <w:rsid w:val="0141482C"/>
    <w:rsid w:val="04FE43BA"/>
    <w:rsid w:val="0929298D"/>
    <w:rsid w:val="09C17BFB"/>
    <w:rsid w:val="14694AFE"/>
    <w:rsid w:val="17406516"/>
    <w:rsid w:val="1748589E"/>
    <w:rsid w:val="1DF166AB"/>
    <w:rsid w:val="239449DB"/>
    <w:rsid w:val="25653133"/>
    <w:rsid w:val="288C2576"/>
    <w:rsid w:val="28AA05E8"/>
    <w:rsid w:val="2A7F30E4"/>
    <w:rsid w:val="306D2F31"/>
    <w:rsid w:val="31E55AAE"/>
    <w:rsid w:val="337C7104"/>
    <w:rsid w:val="3730712C"/>
    <w:rsid w:val="407A4D26"/>
    <w:rsid w:val="436D5975"/>
    <w:rsid w:val="4A062BE8"/>
    <w:rsid w:val="519148EA"/>
    <w:rsid w:val="53302FA1"/>
    <w:rsid w:val="536966BB"/>
    <w:rsid w:val="54211A7C"/>
    <w:rsid w:val="55635134"/>
    <w:rsid w:val="5601285F"/>
    <w:rsid w:val="591326D5"/>
    <w:rsid w:val="59ED54D6"/>
    <w:rsid w:val="5D1960FE"/>
    <w:rsid w:val="5E041EE8"/>
    <w:rsid w:val="5E924D7D"/>
    <w:rsid w:val="5F6C6045"/>
    <w:rsid w:val="5FD5408F"/>
    <w:rsid w:val="606A7EF7"/>
    <w:rsid w:val="615E6582"/>
    <w:rsid w:val="655F5DD1"/>
    <w:rsid w:val="6BAB79C6"/>
    <w:rsid w:val="6CCF3F4C"/>
    <w:rsid w:val="6E4A31B9"/>
    <w:rsid w:val="70B95034"/>
    <w:rsid w:val="716246A0"/>
    <w:rsid w:val="72BC4B86"/>
    <w:rsid w:val="7BDB32AB"/>
    <w:rsid w:val="7EB173B5"/>
    <w:rsid w:val="EBE70AB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3"/>
    <w:qFormat/>
    <w:uiPriority w:val="99"/>
    <w:pPr>
      <w:keepNext/>
      <w:keepLines/>
      <w:tabs>
        <w:tab w:val="left" w:pos="3199"/>
      </w:tabs>
      <w:spacing w:before="340" w:after="330" w:line="578" w:lineRule="auto"/>
      <w:ind w:left="3199" w:hanging="720"/>
      <w:outlineLvl w:val="0"/>
    </w:pPr>
    <w:rPr>
      <w:rFonts w:ascii="Times New Roman" w:hAnsi="Times New Roman"/>
      <w:b/>
      <w:bCs/>
      <w:kern w:val="44"/>
      <w:sz w:val="44"/>
      <w:szCs w:val="44"/>
    </w:rPr>
  </w:style>
  <w:style w:type="paragraph" w:styleId="3">
    <w:name w:val="heading 2"/>
    <w:basedOn w:val="1"/>
    <w:next w:val="1"/>
    <w:link w:val="14"/>
    <w:qFormat/>
    <w:uiPriority w:val="99"/>
    <w:pPr>
      <w:keepNext/>
      <w:keepLines/>
      <w:tabs>
        <w:tab w:val="left" w:pos="1440"/>
      </w:tabs>
      <w:spacing w:before="260" w:after="260" w:line="416" w:lineRule="auto"/>
      <w:ind w:left="1440" w:hanging="360"/>
      <w:outlineLvl w:val="1"/>
    </w:pPr>
    <w:rPr>
      <w:rFonts w:ascii="Arial" w:hAnsi="Arial" w:eastAsia="黑体"/>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0"/>
    <w:qFormat/>
    <w:uiPriority w:val="99"/>
    <w:rPr>
      <w:rFonts w:ascii="宋体" w:cs="黑体"/>
      <w:sz w:val="18"/>
      <w:szCs w:val="18"/>
    </w:rPr>
  </w:style>
  <w:style w:type="paragraph" w:styleId="5">
    <w:name w:val="Balloon Text"/>
    <w:basedOn w:val="1"/>
    <w:link w:val="22"/>
    <w:semiHidden/>
    <w:qFormat/>
    <w:uiPriority w:val="99"/>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customStyle="1" w:styleId="13">
    <w:name w:val="标题 1 Char"/>
    <w:basedOn w:val="11"/>
    <w:link w:val="2"/>
    <w:qFormat/>
    <w:locked/>
    <w:uiPriority w:val="99"/>
    <w:rPr>
      <w:rFonts w:ascii="Times New Roman" w:hAnsi="Times New Roman" w:eastAsia="宋体" w:cs="Times New Roman"/>
      <w:b/>
      <w:bCs/>
      <w:kern w:val="44"/>
      <w:sz w:val="44"/>
      <w:szCs w:val="44"/>
    </w:rPr>
  </w:style>
  <w:style w:type="character" w:customStyle="1" w:styleId="14">
    <w:name w:val="标题 2 Char"/>
    <w:basedOn w:val="11"/>
    <w:link w:val="3"/>
    <w:qFormat/>
    <w:locked/>
    <w:uiPriority w:val="99"/>
    <w:rPr>
      <w:rFonts w:ascii="Arial" w:hAnsi="Arial" w:eastAsia="黑体" w:cs="Times New Roman"/>
      <w:b/>
      <w:bCs/>
      <w:sz w:val="32"/>
      <w:szCs w:val="32"/>
    </w:rPr>
  </w:style>
  <w:style w:type="character" w:customStyle="1" w:styleId="15">
    <w:name w:val="页眉 Char"/>
    <w:basedOn w:val="11"/>
    <w:link w:val="7"/>
    <w:semiHidden/>
    <w:qFormat/>
    <w:locked/>
    <w:uiPriority w:val="99"/>
    <w:rPr>
      <w:rFonts w:cs="Times New Roman"/>
      <w:sz w:val="18"/>
      <w:szCs w:val="18"/>
    </w:rPr>
  </w:style>
  <w:style w:type="character" w:customStyle="1" w:styleId="16">
    <w:name w:val="页脚 Char"/>
    <w:basedOn w:val="11"/>
    <w:link w:val="6"/>
    <w:qFormat/>
    <w:locked/>
    <w:uiPriority w:val="99"/>
    <w:rPr>
      <w:rFonts w:cs="Times New Roman"/>
      <w:sz w:val="18"/>
      <w:szCs w:val="18"/>
    </w:rPr>
  </w:style>
  <w:style w:type="character" w:customStyle="1" w:styleId="17">
    <w:name w:val="jq4图片注释 Char"/>
    <w:link w:val="18"/>
    <w:qFormat/>
    <w:locked/>
    <w:uiPriority w:val="99"/>
    <w:rPr>
      <w:rFonts w:ascii="Calibri" w:hAnsi="Calibri"/>
      <w:kern w:val="2"/>
      <w:sz w:val="18"/>
      <w:szCs w:val="24"/>
      <w:lang w:val="en-US" w:eastAsia="zh-CN" w:bidi="ar-SA"/>
    </w:rPr>
  </w:style>
  <w:style w:type="paragraph" w:customStyle="1" w:styleId="18">
    <w:name w:val="jq4图片注释"/>
    <w:next w:val="1"/>
    <w:link w:val="17"/>
    <w:qFormat/>
    <w:uiPriority w:val="99"/>
    <w:pPr>
      <w:spacing w:before="20" w:after="50" w:line="300" w:lineRule="auto"/>
      <w:ind w:firstLine="200"/>
      <w:jc w:val="center"/>
    </w:pPr>
    <w:rPr>
      <w:rFonts w:ascii="Calibri" w:hAnsi="Calibri" w:eastAsia="宋体" w:cs="Times New Roman"/>
      <w:kern w:val="2"/>
      <w:sz w:val="18"/>
      <w:szCs w:val="24"/>
      <w:lang w:val="en-US" w:eastAsia="zh-CN" w:bidi="ar-SA"/>
    </w:rPr>
  </w:style>
  <w:style w:type="paragraph" w:customStyle="1" w:styleId="19">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0">
    <w:name w:val="文档结构图 Char"/>
    <w:basedOn w:val="11"/>
    <w:link w:val="4"/>
    <w:qFormat/>
    <w:locked/>
    <w:uiPriority w:val="99"/>
    <w:rPr>
      <w:rFonts w:ascii="宋体" w:hAnsi="Calibri" w:eastAsia="宋体" w:cs="黑体"/>
      <w:sz w:val="18"/>
      <w:szCs w:val="18"/>
    </w:rPr>
  </w:style>
  <w:style w:type="paragraph" w:styleId="21">
    <w:name w:val="List Paragraph"/>
    <w:basedOn w:val="1"/>
    <w:qFormat/>
    <w:uiPriority w:val="99"/>
    <w:pPr>
      <w:ind w:firstLine="420" w:firstLineChars="200"/>
    </w:pPr>
  </w:style>
  <w:style w:type="character" w:customStyle="1" w:styleId="22">
    <w:name w:val="批注框文本 Char"/>
    <w:basedOn w:val="11"/>
    <w:link w:val="5"/>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 SelectedStyle=""/>
</file>

<file path=customXml/itemProps1.xml><?xml version="1.0" encoding="utf-8"?>
<ds:datastoreItem xmlns:ds="http://schemas.openxmlformats.org/officeDocument/2006/customXml" ds:itemID="{3713B819-7734-4782-9276-C303172A8D8D}">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26</Pages>
  <Words>8570</Words>
  <Characters>18523</Characters>
  <Lines>173</Lines>
  <Paragraphs>48</Paragraphs>
  <TotalTime>209</TotalTime>
  <ScaleCrop>false</ScaleCrop>
  <LinksUpToDate>false</LinksUpToDate>
  <CharactersWithSpaces>19587</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2019-09-25T10:03:00Z</dcterms:created>
  <dc:creator>Administrator</dc:creator>
  <cp:lastModifiedBy>Gxkj-123</cp:lastModifiedBy>
  <cp:lastPrinted>2021-07-28T14:15:00Z</cp:lastPrinted>
  <dcterms:modified xsi:type="dcterms:W3CDTF">2026-07-15T09:25:55Z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448C0887EFA94D00B126907C447F30C8</vt:lpwstr>
  </property>
</Properties>
</file>