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8287C">
      <w:pPr>
        <w:rPr>
          <w:rFonts w:hint="eastAsia" w:ascii="仿宋_GB2312" w:eastAsia="仿宋_GB2312"/>
          <w:sz w:val="32"/>
          <w:szCs w:val="32"/>
        </w:rPr>
      </w:pPr>
    </w:p>
    <w:p w14:paraId="0035974B">
      <w:pPr>
        <w:rPr>
          <w:rFonts w:hint="eastAsia" w:ascii="仿宋_GB2312" w:eastAsia="仿宋_GB2312"/>
          <w:sz w:val="32"/>
          <w:szCs w:val="32"/>
        </w:rPr>
      </w:pPr>
    </w:p>
    <w:p w14:paraId="71364D1F">
      <w:pPr>
        <w:rPr>
          <w:rFonts w:hint="eastAsia" w:ascii="仿宋_GB2312" w:eastAsia="仿宋_GB2312"/>
          <w:sz w:val="32"/>
          <w:szCs w:val="32"/>
        </w:rPr>
      </w:pPr>
    </w:p>
    <w:p w14:paraId="3AFA048E">
      <w:pPr>
        <w:rPr>
          <w:rFonts w:hint="eastAsia" w:ascii="仿宋_GB2312" w:eastAsia="仿宋_GB2312"/>
          <w:sz w:val="32"/>
          <w:szCs w:val="32"/>
        </w:rPr>
      </w:pPr>
    </w:p>
    <w:p w14:paraId="7FE4100E">
      <w:pPr>
        <w:rPr>
          <w:rFonts w:hint="eastAsia" w:ascii="仿宋_GB2312" w:eastAsia="仿宋_GB2312"/>
          <w:sz w:val="32"/>
          <w:szCs w:val="32"/>
        </w:rPr>
      </w:pPr>
    </w:p>
    <w:p w14:paraId="612506C2">
      <w:pPr>
        <w:rPr>
          <w:rFonts w:hint="eastAsia" w:ascii="仿宋_GB2312" w:eastAsia="仿宋_GB2312"/>
          <w:sz w:val="32"/>
          <w:szCs w:val="32"/>
        </w:rPr>
      </w:pPr>
      <w:r>
        <w:rPr>
          <w:rFonts w:hint="eastAsia" w:ascii="仿宋_GB2312" w:eastAsia="仿宋_GB2312"/>
          <w:sz w:val="32"/>
          <w:szCs w:val="32"/>
        </w:rPr>
        <w:t xml:space="preserve">                    </w:t>
      </w:r>
    </w:p>
    <w:p w14:paraId="2039FCC7">
      <w:pPr>
        <w:jc w:val="center"/>
        <w:rPr>
          <w:rFonts w:hint="eastAsia" w:ascii="仿宋_GB2312" w:eastAsia="仿宋_GB2312"/>
          <w:sz w:val="32"/>
          <w:szCs w:val="32"/>
        </w:rPr>
      </w:pPr>
      <w:r>
        <w:rPr>
          <w:rFonts w:hint="eastAsia" w:ascii="仿宋_GB2312" w:eastAsia="仿宋_GB2312"/>
          <w:sz w:val="32"/>
          <w:szCs w:val="32"/>
        </w:rPr>
        <w:t>庄水发〔2020〕39号</w:t>
      </w:r>
    </w:p>
    <w:p w14:paraId="379561EE">
      <w:pPr>
        <w:rPr>
          <w:rFonts w:hint="eastAsia" w:ascii="仿宋_GB2312" w:eastAsia="仿宋_GB2312"/>
          <w:sz w:val="32"/>
          <w:szCs w:val="32"/>
        </w:rPr>
      </w:pPr>
    </w:p>
    <w:p w14:paraId="63863B7E">
      <w:pPr>
        <w:jc w:val="center"/>
        <w:rPr>
          <w:rFonts w:hint="eastAsia"/>
          <w:b/>
          <w:sz w:val="44"/>
          <w:szCs w:val="44"/>
        </w:rPr>
      </w:pPr>
      <w:r>
        <w:rPr>
          <w:rFonts w:hint="eastAsia"/>
          <w:b/>
          <w:sz w:val="44"/>
          <w:szCs w:val="44"/>
        </w:rPr>
        <w:t>庄河市水务局关于印发建立法官检察官行政执法人员律师等以案释法制度</w:t>
      </w:r>
    </w:p>
    <w:p w14:paraId="5481667F">
      <w:pPr>
        <w:jc w:val="center"/>
        <w:rPr>
          <w:rFonts w:hint="eastAsia"/>
          <w:b/>
          <w:sz w:val="44"/>
          <w:szCs w:val="44"/>
        </w:rPr>
      </w:pPr>
      <w:r>
        <w:rPr>
          <w:rFonts w:hint="eastAsia"/>
          <w:b/>
          <w:sz w:val="44"/>
          <w:szCs w:val="44"/>
        </w:rPr>
        <w:t>实施方案的通知</w:t>
      </w:r>
    </w:p>
    <w:p w14:paraId="1C8B5B82">
      <w:pPr>
        <w:rPr>
          <w:rFonts w:hint="eastAsia" w:ascii="仿宋_GB2312" w:eastAsia="仿宋_GB2312"/>
          <w:sz w:val="32"/>
          <w:szCs w:val="32"/>
        </w:rPr>
      </w:pPr>
    </w:p>
    <w:p w14:paraId="473AC17E">
      <w:pPr>
        <w:spacing w:line="480" w:lineRule="auto"/>
        <w:rPr>
          <w:rFonts w:hint="eastAsia" w:ascii="仿宋_GB2312" w:eastAsia="仿宋_GB2312"/>
          <w:sz w:val="32"/>
          <w:szCs w:val="32"/>
        </w:rPr>
      </w:pPr>
      <w:r>
        <w:rPr>
          <w:rFonts w:hint="eastAsia" w:ascii="仿宋_GB2312" w:eastAsia="仿宋_GB2312"/>
          <w:sz w:val="32"/>
          <w:szCs w:val="32"/>
        </w:rPr>
        <w:t>局属各室，市水务事务服务中心：</w:t>
      </w:r>
    </w:p>
    <w:p w14:paraId="572722BE">
      <w:pPr>
        <w:spacing w:line="480" w:lineRule="auto"/>
        <w:ind w:firstLine="640" w:firstLineChars="200"/>
        <w:rPr>
          <w:rFonts w:hint="eastAsia" w:ascii="仿宋_GB2312" w:eastAsia="仿宋_GB2312"/>
          <w:sz w:val="32"/>
          <w:szCs w:val="32"/>
        </w:rPr>
      </w:pPr>
      <w:r>
        <w:rPr>
          <w:rFonts w:hint="eastAsia" w:ascii="仿宋_GB2312" w:eastAsia="仿宋_GB2312"/>
          <w:sz w:val="32"/>
          <w:szCs w:val="32"/>
        </w:rPr>
        <w:t>根据中共大连市委全面依法治市委员会办公室文件《关于建立法官检察官行政执法人员律师等以案释法制度的实施意见》（大依法治市办〔2020〕9号）和中共庄河市委法治建设委员会办公室《转发中共大连市委全面依法治市委员会办公室〈关于建立法官检察官行政执法人员律师等以案释法制度的实施意见〉的通知》（庄法治办发〔2020〕12号）的通知要求，为落实“建立法官检察官行政执法人员律师等以案释法制度”，推动我局以案释法工作制度化、规范化发展，结合实际，制定我局以案释法制度实施方案，现印发给你们，请遵照执行。</w:t>
      </w:r>
    </w:p>
    <w:p w14:paraId="62A14F23">
      <w:pPr>
        <w:spacing w:line="480" w:lineRule="auto"/>
        <w:ind w:firstLine="640" w:firstLineChars="200"/>
        <w:rPr>
          <w:rFonts w:hint="eastAsia" w:ascii="仿宋_GB2312" w:eastAsia="仿宋_GB2312"/>
          <w:sz w:val="32"/>
          <w:szCs w:val="32"/>
        </w:rPr>
      </w:pPr>
    </w:p>
    <w:p w14:paraId="5F73A8FF">
      <w:pPr>
        <w:spacing w:line="480" w:lineRule="auto"/>
        <w:ind w:firstLine="640" w:firstLineChars="200"/>
        <w:rPr>
          <w:rFonts w:hint="eastAsia" w:ascii="仿宋_GB2312" w:eastAsia="仿宋_GB2312"/>
          <w:sz w:val="32"/>
          <w:szCs w:val="32"/>
        </w:rPr>
      </w:pPr>
    </w:p>
    <w:p w14:paraId="42BF6D68">
      <w:pPr>
        <w:spacing w:line="480" w:lineRule="auto"/>
        <w:ind w:firstLine="5280" w:firstLineChars="1650"/>
        <w:rPr>
          <w:rFonts w:hint="eastAsia" w:ascii="仿宋_GB2312" w:eastAsia="仿宋_GB2312"/>
          <w:sz w:val="32"/>
          <w:szCs w:val="32"/>
        </w:rPr>
      </w:pPr>
      <w:r>
        <w:rPr>
          <w:rFonts w:hint="eastAsia" w:ascii="仿宋_GB2312" w:eastAsia="仿宋_GB2312"/>
          <w:sz w:val="32"/>
          <w:szCs w:val="32"/>
        </w:rPr>
        <w:t>庄河市水务局</w:t>
      </w:r>
    </w:p>
    <w:p w14:paraId="7B1E817A">
      <w:pPr>
        <w:spacing w:line="480" w:lineRule="auto"/>
        <w:ind w:firstLine="5120" w:firstLineChars="1600"/>
        <w:rPr>
          <w:rFonts w:hint="eastAsia" w:ascii="仿宋_GB2312" w:eastAsia="仿宋_GB2312"/>
          <w:sz w:val="32"/>
          <w:szCs w:val="32"/>
        </w:rPr>
      </w:pPr>
      <w:r>
        <w:rPr>
          <w:rFonts w:hint="eastAsia" w:ascii="仿宋_GB2312" w:eastAsia="仿宋_GB2312"/>
          <w:sz w:val="32"/>
          <w:szCs w:val="32"/>
        </w:rPr>
        <w:t>2020年8月26日</w:t>
      </w:r>
    </w:p>
    <w:p w14:paraId="1FDEBE0B">
      <w:pPr>
        <w:spacing w:line="480" w:lineRule="auto"/>
        <w:ind w:firstLine="640" w:firstLineChars="200"/>
        <w:rPr>
          <w:rFonts w:hint="eastAsia" w:ascii="仿宋_GB2312" w:eastAsia="仿宋_GB2312"/>
          <w:sz w:val="32"/>
          <w:szCs w:val="32"/>
        </w:rPr>
      </w:pPr>
    </w:p>
    <w:p w14:paraId="3B1AF343">
      <w:pPr>
        <w:spacing w:line="480" w:lineRule="auto"/>
        <w:ind w:firstLine="640" w:firstLineChars="200"/>
        <w:rPr>
          <w:rFonts w:hint="eastAsia" w:ascii="仿宋_GB2312" w:eastAsia="仿宋_GB2312"/>
          <w:sz w:val="32"/>
          <w:szCs w:val="32"/>
        </w:rPr>
      </w:pPr>
    </w:p>
    <w:p w14:paraId="01200E85">
      <w:pPr>
        <w:spacing w:line="480" w:lineRule="auto"/>
        <w:ind w:firstLine="640" w:firstLineChars="200"/>
        <w:rPr>
          <w:rFonts w:hint="eastAsia" w:ascii="仿宋_GB2312" w:eastAsia="仿宋_GB2312"/>
          <w:sz w:val="32"/>
          <w:szCs w:val="32"/>
        </w:rPr>
      </w:pPr>
    </w:p>
    <w:p w14:paraId="28B17B87">
      <w:pPr>
        <w:spacing w:line="480" w:lineRule="auto"/>
        <w:ind w:firstLine="640" w:firstLineChars="200"/>
        <w:rPr>
          <w:rFonts w:hint="eastAsia" w:ascii="仿宋_GB2312" w:eastAsia="仿宋_GB2312"/>
          <w:sz w:val="32"/>
          <w:szCs w:val="32"/>
        </w:rPr>
      </w:pPr>
    </w:p>
    <w:p w14:paraId="38460055">
      <w:pPr>
        <w:spacing w:line="480" w:lineRule="auto"/>
        <w:ind w:firstLine="640" w:firstLineChars="200"/>
        <w:rPr>
          <w:rFonts w:hint="eastAsia" w:ascii="仿宋_GB2312" w:eastAsia="仿宋_GB2312"/>
          <w:sz w:val="32"/>
          <w:szCs w:val="32"/>
        </w:rPr>
      </w:pPr>
    </w:p>
    <w:p w14:paraId="2BA7D226">
      <w:pPr>
        <w:spacing w:line="480" w:lineRule="auto"/>
        <w:ind w:firstLine="640" w:firstLineChars="200"/>
        <w:rPr>
          <w:rFonts w:hint="eastAsia" w:ascii="仿宋_GB2312" w:eastAsia="仿宋_GB2312"/>
          <w:sz w:val="32"/>
          <w:szCs w:val="32"/>
        </w:rPr>
      </w:pPr>
    </w:p>
    <w:p w14:paraId="54D158DD">
      <w:pPr>
        <w:spacing w:line="480" w:lineRule="auto"/>
        <w:ind w:firstLine="640" w:firstLineChars="200"/>
        <w:rPr>
          <w:rFonts w:hint="eastAsia" w:ascii="仿宋_GB2312" w:eastAsia="仿宋_GB2312"/>
          <w:sz w:val="32"/>
          <w:szCs w:val="32"/>
        </w:rPr>
      </w:pPr>
    </w:p>
    <w:p w14:paraId="277B4472">
      <w:pPr>
        <w:spacing w:line="480" w:lineRule="auto"/>
        <w:ind w:firstLine="640" w:firstLineChars="200"/>
        <w:rPr>
          <w:rFonts w:hint="eastAsia" w:ascii="仿宋_GB2312" w:eastAsia="仿宋_GB2312"/>
          <w:sz w:val="32"/>
          <w:szCs w:val="32"/>
        </w:rPr>
      </w:pPr>
    </w:p>
    <w:p w14:paraId="7D4C3E94">
      <w:pPr>
        <w:spacing w:line="480" w:lineRule="auto"/>
        <w:ind w:firstLine="640" w:firstLineChars="200"/>
        <w:rPr>
          <w:rFonts w:hint="eastAsia" w:ascii="仿宋_GB2312" w:eastAsia="仿宋_GB2312"/>
          <w:sz w:val="32"/>
          <w:szCs w:val="32"/>
        </w:rPr>
      </w:pPr>
    </w:p>
    <w:p w14:paraId="0D0E7298">
      <w:pPr>
        <w:spacing w:line="480" w:lineRule="auto"/>
        <w:ind w:firstLine="640" w:firstLineChars="200"/>
        <w:rPr>
          <w:rFonts w:hint="eastAsia" w:ascii="仿宋_GB2312" w:eastAsia="仿宋_GB2312"/>
          <w:sz w:val="32"/>
          <w:szCs w:val="32"/>
        </w:rPr>
      </w:pPr>
    </w:p>
    <w:p w14:paraId="2BBEA954">
      <w:pPr>
        <w:spacing w:line="480" w:lineRule="auto"/>
        <w:ind w:firstLine="640" w:firstLineChars="200"/>
        <w:rPr>
          <w:rFonts w:hint="eastAsia" w:ascii="仿宋_GB2312" w:eastAsia="仿宋_GB2312"/>
          <w:sz w:val="32"/>
          <w:szCs w:val="32"/>
        </w:rPr>
      </w:pPr>
    </w:p>
    <w:p w14:paraId="4429B64C">
      <w:pPr>
        <w:spacing w:line="480" w:lineRule="auto"/>
        <w:ind w:firstLine="640" w:firstLineChars="200"/>
        <w:rPr>
          <w:rFonts w:hint="eastAsia" w:ascii="仿宋_GB2312" w:eastAsia="仿宋_GB2312"/>
          <w:sz w:val="32"/>
          <w:szCs w:val="32"/>
        </w:rPr>
      </w:pPr>
    </w:p>
    <w:p w14:paraId="7EB0C156">
      <w:pPr>
        <w:spacing w:line="480" w:lineRule="auto"/>
        <w:ind w:firstLine="640" w:firstLineChars="200"/>
        <w:rPr>
          <w:rFonts w:hint="eastAsia" w:ascii="仿宋_GB2312" w:eastAsia="仿宋_GB2312"/>
          <w:sz w:val="32"/>
          <w:szCs w:val="32"/>
        </w:rPr>
      </w:pPr>
    </w:p>
    <w:p w14:paraId="1641465A">
      <w:pPr>
        <w:spacing w:line="480" w:lineRule="auto"/>
        <w:ind w:firstLine="640" w:firstLineChars="200"/>
        <w:rPr>
          <w:rFonts w:hint="eastAsia" w:ascii="仿宋_GB2312" w:eastAsia="仿宋_GB2312"/>
          <w:sz w:val="32"/>
          <w:szCs w:val="32"/>
        </w:rPr>
      </w:pPr>
    </w:p>
    <w:p w14:paraId="1D59310D">
      <w:pPr>
        <w:spacing w:line="480" w:lineRule="auto"/>
        <w:ind w:firstLine="640" w:firstLineChars="200"/>
        <w:rPr>
          <w:rFonts w:hint="eastAsia" w:ascii="仿宋_GB2312" w:eastAsia="仿宋_GB2312"/>
          <w:sz w:val="32"/>
          <w:szCs w:val="32"/>
        </w:rPr>
      </w:pPr>
    </w:p>
    <w:p w14:paraId="14E98DB9">
      <w:pPr>
        <w:spacing w:line="480" w:lineRule="auto"/>
        <w:ind w:firstLine="640" w:firstLineChars="200"/>
        <w:rPr>
          <w:rFonts w:hint="eastAsia" w:ascii="仿宋_GB2312" w:eastAsia="仿宋_GB2312"/>
          <w:sz w:val="32"/>
          <w:szCs w:val="32"/>
        </w:rPr>
      </w:pPr>
    </w:p>
    <w:p w14:paraId="32FEAAEB">
      <w:pPr>
        <w:spacing w:line="480" w:lineRule="auto"/>
        <w:ind w:firstLine="640" w:firstLineChars="200"/>
        <w:rPr>
          <w:rFonts w:hint="eastAsia" w:ascii="仿宋_GB2312" w:eastAsia="仿宋_GB2312"/>
          <w:sz w:val="32"/>
          <w:szCs w:val="32"/>
        </w:rPr>
      </w:pPr>
    </w:p>
    <w:p w14:paraId="39252E9C">
      <w:pPr>
        <w:spacing w:line="480" w:lineRule="auto"/>
        <w:jc w:val="center"/>
        <w:rPr>
          <w:rFonts w:asciiTheme="minorEastAsia" w:hAnsiTheme="minorEastAsia"/>
          <w:b/>
          <w:sz w:val="44"/>
          <w:szCs w:val="44"/>
        </w:rPr>
      </w:pPr>
      <w:r>
        <w:rPr>
          <w:rFonts w:hint="eastAsia" w:asciiTheme="minorEastAsia" w:hAnsiTheme="minorEastAsia"/>
          <w:b/>
          <w:sz w:val="44"/>
          <w:szCs w:val="44"/>
        </w:rPr>
        <w:t>庄河市水务局以案释法制度实施方案</w:t>
      </w:r>
    </w:p>
    <w:p w14:paraId="2939FDC1">
      <w:pPr>
        <w:spacing w:line="480" w:lineRule="auto"/>
        <w:ind w:firstLine="640" w:firstLineChars="200"/>
        <w:rPr>
          <w:rFonts w:hint="eastAsia" w:ascii="仿宋_GB2312" w:eastAsia="仿宋_GB2312"/>
          <w:sz w:val="32"/>
          <w:szCs w:val="32"/>
        </w:rPr>
      </w:pPr>
    </w:p>
    <w:p w14:paraId="6535CB79">
      <w:pPr>
        <w:spacing w:line="480" w:lineRule="auto"/>
        <w:ind w:firstLine="640" w:firstLineChars="200"/>
        <w:rPr>
          <w:rFonts w:hint="eastAsia" w:ascii="仿宋_GB2312" w:eastAsia="仿宋_GB2312"/>
          <w:sz w:val="32"/>
          <w:szCs w:val="32"/>
        </w:rPr>
      </w:pPr>
      <w:r>
        <w:rPr>
          <w:rFonts w:hint="eastAsia" w:ascii="仿宋_GB2312" w:eastAsia="仿宋_GB2312"/>
          <w:sz w:val="32"/>
          <w:szCs w:val="32"/>
        </w:rPr>
        <w:t>为贯彻落实大连市委全面依法治市委员会办公室《关于建立法官检察官行政执法人员律师等以案释法制度的实施意见》（大依法治市办〔2020〕9号）文件精神，进一步深化法制宣传教育，增强全民法治观念，推进法治政府建设，推动全市以案释法工作制度化、规范化、常态化发展，制定本实施方案。</w:t>
      </w:r>
      <w:bookmarkStart w:id="0" w:name="_GoBack"/>
      <w:bookmarkEnd w:id="0"/>
    </w:p>
    <w:p w14:paraId="3932ECE9">
      <w:pPr>
        <w:spacing w:line="480" w:lineRule="auto"/>
        <w:ind w:firstLine="643" w:firstLineChars="200"/>
        <w:rPr>
          <w:rFonts w:ascii="黑体" w:hAnsi="黑体" w:eastAsia="黑体" w:cs="黑体"/>
          <w:b/>
          <w:sz w:val="32"/>
          <w:szCs w:val="32"/>
        </w:rPr>
      </w:pPr>
      <w:r>
        <w:rPr>
          <w:rFonts w:hint="eastAsia" w:ascii="黑体" w:hAnsi="黑体" w:eastAsia="黑体" w:cs="黑体"/>
          <w:b/>
          <w:sz w:val="32"/>
          <w:szCs w:val="32"/>
        </w:rPr>
        <w:t>一、工作目标</w:t>
      </w:r>
    </w:p>
    <w:p w14:paraId="75C2E8B2">
      <w:pPr>
        <w:spacing w:line="480" w:lineRule="auto"/>
        <w:ind w:firstLine="640" w:firstLineChars="200"/>
        <w:rPr>
          <w:rFonts w:hint="eastAsia" w:ascii="仿宋_GB2312" w:eastAsia="仿宋_GB2312"/>
          <w:sz w:val="32"/>
          <w:szCs w:val="32"/>
        </w:rPr>
      </w:pPr>
      <w:r>
        <w:rPr>
          <w:rFonts w:hint="eastAsia" w:ascii="仿宋_GB2312" w:eastAsia="仿宋_GB2312"/>
          <w:sz w:val="32"/>
          <w:szCs w:val="32"/>
        </w:rPr>
        <w:t>紧紧围绕我市全面深化改革和建设法治社会的总体要求，发挥典型案例在法治宣传教育中的作用，把以案释法拓展到行政执法活动全过程，在实践中开展以案释法和警示教育，促进全民自觉学法尊法守法用法的良好氛围，提高全局人员遵纪守法观念，推进“法治政府建设”深入开展。</w:t>
      </w:r>
    </w:p>
    <w:p w14:paraId="20EF965C">
      <w:pPr>
        <w:spacing w:line="480" w:lineRule="auto"/>
        <w:ind w:firstLine="643" w:firstLineChars="200"/>
        <w:rPr>
          <w:rFonts w:ascii="黑体" w:hAnsi="黑体" w:eastAsia="黑体" w:cs="黑体"/>
          <w:b/>
          <w:sz w:val="32"/>
          <w:szCs w:val="32"/>
        </w:rPr>
      </w:pPr>
      <w:r>
        <w:rPr>
          <w:rFonts w:hint="eastAsia" w:ascii="黑体" w:hAnsi="黑体" w:eastAsia="黑体" w:cs="黑体"/>
          <w:b/>
          <w:sz w:val="32"/>
          <w:szCs w:val="32"/>
        </w:rPr>
        <w:t>二、工作任务</w:t>
      </w:r>
    </w:p>
    <w:p w14:paraId="79285CB2">
      <w:pPr>
        <w:spacing w:line="480" w:lineRule="auto"/>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（一）健全“以案释法”工作机制</w:t>
      </w:r>
    </w:p>
    <w:p w14:paraId="11592E06">
      <w:pPr>
        <w:spacing w:line="480" w:lineRule="auto"/>
        <w:ind w:firstLine="640" w:firstLineChars="200"/>
        <w:rPr>
          <w:rFonts w:hint="eastAsia" w:ascii="仿宋_GB2312" w:eastAsia="仿宋_GB2312"/>
          <w:sz w:val="32"/>
          <w:szCs w:val="32"/>
        </w:rPr>
      </w:pPr>
      <w:r>
        <w:rPr>
          <w:rFonts w:hint="eastAsia" w:ascii="仿宋_GB2312" w:eastAsia="仿宋_GB2312"/>
          <w:sz w:val="32"/>
          <w:szCs w:val="32"/>
        </w:rPr>
        <w:t>为充分发挥我局行政执法职能，积极引导推进法律法规宣传，我局建立健全“以案释法” 工作机制。成立了“以案释法”工作领导小组，主要领导为组长，分管领导为副组长，各科室、中心负责人为成员，小组主要任务是负责以案释法工作的开展，保障以案释法工作的全面落实。</w:t>
      </w:r>
    </w:p>
    <w:p w14:paraId="497032E1">
      <w:pPr>
        <w:spacing w:line="480" w:lineRule="auto"/>
        <w:ind w:firstLine="643"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（二）拓展“以案释法”工作形式</w:t>
      </w:r>
    </w:p>
    <w:p w14:paraId="7F6BAAD9">
      <w:pPr>
        <w:spacing w:line="480" w:lineRule="auto"/>
        <w:ind w:firstLine="640" w:firstLineChars="200"/>
        <w:rPr>
          <w:rFonts w:hint="eastAsia" w:ascii="仿宋_GB2312" w:eastAsia="仿宋_GB2312"/>
          <w:sz w:val="32"/>
          <w:szCs w:val="32"/>
        </w:rPr>
      </w:pPr>
      <w:r>
        <w:rPr>
          <w:rFonts w:hint="eastAsia" w:ascii="仿宋_GB2312" w:eastAsia="仿宋_GB2312"/>
          <w:sz w:val="32"/>
          <w:szCs w:val="32"/>
        </w:rPr>
        <w:t>结合工作职能深入开展社会普法，以法治政府建设活动为抓手，开展各类普法宣传教育活动，不断提高社会治理法治化水平。借助媒体、微信平台、公益广告、户外LED显示屏、公众服务窗口等多种载体开展以案释法宣传教育活动，营造浓厚宣传氛围。</w:t>
      </w:r>
    </w:p>
    <w:p w14:paraId="6F35B290">
      <w:pPr>
        <w:widowControl/>
        <w:numPr>
          <w:ilvl w:val="0"/>
          <w:numId w:val="1"/>
        </w:numPr>
        <w:spacing w:line="480" w:lineRule="auto"/>
        <w:ind w:firstLine="643" w:firstLineChars="200"/>
        <w:jc w:val="left"/>
        <w:rPr>
          <w:rFonts w:ascii="楷体_GB2312" w:hAnsi="楷体_GB2312" w:eastAsia="楷体_GB2312" w:cs="楷体_GB2312"/>
          <w:b/>
          <w:sz w:val="32"/>
          <w:szCs w:val="32"/>
        </w:rPr>
      </w:pPr>
      <w:r>
        <w:rPr>
          <w:rFonts w:hint="eastAsia" w:ascii="楷体_GB2312" w:hAnsi="楷体_GB2312" w:eastAsia="楷体_GB2312" w:cs="楷体_GB2312"/>
          <w:b/>
          <w:sz w:val="32"/>
          <w:szCs w:val="32"/>
        </w:rPr>
        <w:t>丰富“以案释法”宣传内容</w:t>
      </w:r>
    </w:p>
    <w:p w14:paraId="0D6C4990">
      <w:pPr>
        <w:spacing w:line="480" w:lineRule="auto"/>
        <w:ind w:firstLine="640" w:firstLineChars="200"/>
        <w:rPr>
          <w:rFonts w:hint="eastAsia" w:ascii="仿宋_GB2312" w:eastAsia="仿宋_GB2312"/>
          <w:sz w:val="32"/>
          <w:szCs w:val="32"/>
        </w:rPr>
      </w:pPr>
      <w:r>
        <w:rPr>
          <w:rFonts w:hint="eastAsia" w:ascii="仿宋_GB2312" w:eastAsia="仿宋_GB2312"/>
          <w:sz w:val="32"/>
          <w:szCs w:val="32"/>
        </w:rPr>
        <w:t>“以案释法”内容要突出典型性、实用性、及时性，选择与宣传对象密切相关实用型案例、容易发生的焦点热点型案例、通过讲解和文字表述，把案例的案情事实、社会背景、处理结果、法律知识说清、说懂，更要将蕴含的法治理念、法治思维说明、说透，进一步提升“以案释法”工作实效。</w:t>
      </w:r>
    </w:p>
    <w:p w14:paraId="6F1E5073">
      <w:pPr>
        <w:spacing w:line="480" w:lineRule="auto"/>
        <w:ind w:firstLine="643" w:firstLineChars="200"/>
        <w:rPr>
          <w:rFonts w:ascii="黑体" w:hAnsi="黑体" w:eastAsia="黑体" w:cs="黑体"/>
          <w:b/>
          <w:sz w:val="32"/>
          <w:szCs w:val="32"/>
        </w:rPr>
      </w:pPr>
      <w:r>
        <w:rPr>
          <w:rFonts w:hint="eastAsia" w:ascii="黑体" w:hAnsi="黑体" w:eastAsia="黑体" w:cs="黑体"/>
          <w:b/>
          <w:sz w:val="32"/>
          <w:szCs w:val="32"/>
        </w:rPr>
        <w:t>三、工作要求</w:t>
      </w:r>
    </w:p>
    <w:p w14:paraId="018214EE">
      <w:pPr>
        <w:spacing w:line="480" w:lineRule="auto"/>
        <w:ind w:firstLine="643" w:firstLineChars="200"/>
        <w:rPr>
          <w:rFonts w:hint="eastAsia" w:ascii="仿宋_GB2312" w:eastAsia="仿宋_GB2312"/>
          <w:sz w:val="32"/>
          <w:szCs w:val="32"/>
        </w:rPr>
      </w:pPr>
      <w:r>
        <w:rPr>
          <w:rFonts w:hint="eastAsia" w:ascii="仿宋_GB2312" w:eastAsia="仿宋_GB2312"/>
          <w:b/>
          <w:sz w:val="32"/>
          <w:szCs w:val="32"/>
        </w:rPr>
        <w:t>（一）高度重视，认真组织。</w:t>
      </w:r>
      <w:r>
        <w:rPr>
          <w:rFonts w:hint="eastAsia" w:ascii="仿宋_GB2312" w:eastAsia="仿宋_GB2312"/>
          <w:sz w:val="32"/>
          <w:szCs w:val="32"/>
        </w:rPr>
        <w:t>要充分认识开展“以案释法”工作的重要性，统筹安排，细化分工，共同做好组织协调和衔接工作，切实将“以案释法”工作纳入日常法治宣传教育的重要内容。</w:t>
      </w:r>
    </w:p>
    <w:p w14:paraId="1420920F">
      <w:pPr>
        <w:spacing w:line="480" w:lineRule="auto"/>
        <w:ind w:firstLine="643" w:firstLineChars="200"/>
        <w:rPr>
          <w:rFonts w:hint="eastAsia" w:ascii="仿宋_GB2312" w:eastAsia="仿宋_GB2312"/>
          <w:sz w:val="32"/>
          <w:szCs w:val="32"/>
        </w:rPr>
      </w:pPr>
      <w:r>
        <w:rPr>
          <w:rFonts w:hint="eastAsia" w:ascii="仿宋_GB2312" w:eastAsia="仿宋_GB2312"/>
          <w:b/>
          <w:sz w:val="32"/>
          <w:szCs w:val="32"/>
        </w:rPr>
        <w:t>（二）立足实际，突出特点。</w:t>
      </w:r>
      <w:r>
        <w:rPr>
          <w:rFonts w:hint="eastAsia" w:ascii="仿宋_GB2312" w:eastAsia="仿宋_GB2312"/>
          <w:sz w:val="32"/>
          <w:szCs w:val="32"/>
        </w:rPr>
        <w:t>要紧密结合工作实际，分清教育层次，注重特色，大胆创新，确保质量，不断丰富“以案释法”的形式和内容，逐步建立起成熟的“以案释法”工作模式。</w:t>
      </w:r>
    </w:p>
    <w:p w14:paraId="3C8BAADF">
      <w:pPr>
        <w:spacing w:line="480" w:lineRule="auto"/>
        <w:ind w:firstLine="643" w:firstLineChars="200"/>
        <w:rPr>
          <w:rFonts w:hint="eastAsia" w:ascii="仿宋_GB2312" w:eastAsia="仿宋_GB2312"/>
          <w:sz w:val="32"/>
          <w:szCs w:val="32"/>
        </w:rPr>
      </w:pPr>
      <w:r>
        <w:rPr>
          <w:rFonts w:hint="eastAsia" w:ascii="仿宋_GB2312" w:eastAsia="仿宋_GB2312"/>
          <w:b/>
          <w:sz w:val="32"/>
          <w:szCs w:val="32"/>
        </w:rPr>
        <w:t>（三）总结经验，力求实效。</w:t>
      </w:r>
      <w:r>
        <w:rPr>
          <w:rFonts w:hint="eastAsia" w:ascii="仿宋_GB2312" w:eastAsia="仿宋_GB2312"/>
          <w:sz w:val="32"/>
          <w:szCs w:val="32"/>
        </w:rPr>
        <w:t>要认真做好宣传教育和信息收集工作，加强信息的沟通与交流，对“以案释法”工作中形成的好做法好经验要及时进行总结，不断推动“以案释法”工作更上</w:t>
      </w:r>
      <w:r>
        <w:rPr>
          <w:rFonts w:hint="eastAsia" w:ascii="仿宋_GB2312" w:eastAsia="仿宋_GB2312"/>
          <w:sz w:val="32"/>
          <w:szCs w:val="32"/>
          <w:lang w:eastAsia="zh-CN"/>
        </w:rPr>
        <w:t>新台阶</w:t>
      </w:r>
      <w:r>
        <w:rPr>
          <w:rFonts w:hint="eastAsia" w:ascii="仿宋_GB2312" w:eastAsia="仿宋_GB2312"/>
          <w:sz w:val="32"/>
          <w:szCs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3111612"/>
      <w:docPartObj>
        <w:docPartGallery w:val="AutoText"/>
      </w:docPartObj>
    </w:sdtPr>
    <w:sdtEndPr>
      <w:rPr>
        <w:rFonts w:asciiTheme="minorEastAsia" w:hAnsiTheme="minorEastAsia"/>
      </w:rPr>
    </w:sdtEndPr>
    <w:sdtContent>
      <w:p w14:paraId="505B0ACA">
        <w:pPr>
          <w:pStyle w:val="5"/>
          <w:jc w:val="center"/>
          <w:rPr>
            <w:rFonts w:asciiTheme="minorEastAsia" w:hAnsiTheme="minorEastAsia"/>
          </w:rPr>
        </w:pPr>
        <w:r>
          <w:rPr>
            <w:rFonts w:asciiTheme="minorEastAsia" w:hAnsiTheme="minorEastAsia"/>
          </w:rPr>
          <w:fldChar w:fldCharType="begin"/>
        </w:r>
        <w:r>
          <w:rPr>
            <w:rFonts w:asciiTheme="minorEastAsia" w:hAnsiTheme="minorEastAsia"/>
          </w:rPr>
          <w:instrText xml:space="preserve">PAGE   \* MERGEFORMAT</w:instrText>
        </w:r>
        <w:r>
          <w:rPr>
            <w:rFonts w:asciiTheme="minorEastAsia" w:hAnsiTheme="minorEastAsia"/>
          </w:rPr>
          <w:fldChar w:fldCharType="separate"/>
        </w:r>
        <w:r>
          <w:rPr>
            <w:rFonts w:asciiTheme="minorEastAsia" w:hAnsiTheme="minorEastAsia"/>
            <w:lang w:val="zh-CN"/>
          </w:rPr>
          <w:t>1</w:t>
        </w:r>
        <w:r>
          <w:rPr>
            <w:rFonts w:asciiTheme="minorEastAsia" w:hAnsiTheme="minorEastAsia"/>
          </w:rPr>
          <w:fldChar w:fldCharType="end"/>
        </w:r>
      </w:p>
    </w:sdtContent>
  </w:sdt>
  <w:p w14:paraId="04691476">
    <w:pPr>
      <w:pStyle w:val="5"/>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D5211"/>
    <w:multiLevelType w:val="singleLevel"/>
    <w:tmpl w:val="89CD521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B741D"/>
    <w:rsid w:val="00006461"/>
    <w:rsid w:val="00027C87"/>
    <w:rsid w:val="00034F2D"/>
    <w:rsid w:val="00042D40"/>
    <w:rsid w:val="00067CDC"/>
    <w:rsid w:val="000A60E5"/>
    <w:rsid w:val="000B6639"/>
    <w:rsid w:val="000C7657"/>
    <w:rsid w:val="000D748D"/>
    <w:rsid w:val="000F31E1"/>
    <w:rsid w:val="00116F41"/>
    <w:rsid w:val="00142A0C"/>
    <w:rsid w:val="00183931"/>
    <w:rsid w:val="001904F1"/>
    <w:rsid w:val="0019215F"/>
    <w:rsid w:val="001E3042"/>
    <w:rsid w:val="00211F61"/>
    <w:rsid w:val="00242DB6"/>
    <w:rsid w:val="00262F50"/>
    <w:rsid w:val="00292579"/>
    <w:rsid w:val="002B7CCE"/>
    <w:rsid w:val="002C3577"/>
    <w:rsid w:val="002E2A0A"/>
    <w:rsid w:val="003175F0"/>
    <w:rsid w:val="00324ED0"/>
    <w:rsid w:val="0039260C"/>
    <w:rsid w:val="003A5743"/>
    <w:rsid w:val="003A5A8C"/>
    <w:rsid w:val="003B050C"/>
    <w:rsid w:val="003B3B60"/>
    <w:rsid w:val="003B635F"/>
    <w:rsid w:val="003B75D9"/>
    <w:rsid w:val="003D3081"/>
    <w:rsid w:val="003D3EB9"/>
    <w:rsid w:val="003D4D78"/>
    <w:rsid w:val="003E22E7"/>
    <w:rsid w:val="003F10AF"/>
    <w:rsid w:val="00401A7E"/>
    <w:rsid w:val="004065AB"/>
    <w:rsid w:val="00443B71"/>
    <w:rsid w:val="00444362"/>
    <w:rsid w:val="00496A82"/>
    <w:rsid w:val="004B0373"/>
    <w:rsid w:val="004C6020"/>
    <w:rsid w:val="004C6D11"/>
    <w:rsid w:val="00500082"/>
    <w:rsid w:val="00504508"/>
    <w:rsid w:val="00507A4F"/>
    <w:rsid w:val="0053284C"/>
    <w:rsid w:val="00543273"/>
    <w:rsid w:val="00550964"/>
    <w:rsid w:val="00554F19"/>
    <w:rsid w:val="0055621C"/>
    <w:rsid w:val="00556568"/>
    <w:rsid w:val="00566E2D"/>
    <w:rsid w:val="005747E1"/>
    <w:rsid w:val="005970EC"/>
    <w:rsid w:val="005A45EA"/>
    <w:rsid w:val="005B6C11"/>
    <w:rsid w:val="005B7FCC"/>
    <w:rsid w:val="005D7EA2"/>
    <w:rsid w:val="005E3571"/>
    <w:rsid w:val="005E6838"/>
    <w:rsid w:val="00601963"/>
    <w:rsid w:val="00611CD8"/>
    <w:rsid w:val="00620A07"/>
    <w:rsid w:val="00622102"/>
    <w:rsid w:val="0063537E"/>
    <w:rsid w:val="00656270"/>
    <w:rsid w:val="00663481"/>
    <w:rsid w:val="00665238"/>
    <w:rsid w:val="00677D6F"/>
    <w:rsid w:val="00683305"/>
    <w:rsid w:val="00691B6B"/>
    <w:rsid w:val="006C6C71"/>
    <w:rsid w:val="006D7FA5"/>
    <w:rsid w:val="0070636A"/>
    <w:rsid w:val="00711FA3"/>
    <w:rsid w:val="007145D2"/>
    <w:rsid w:val="007477EF"/>
    <w:rsid w:val="00772476"/>
    <w:rsid w:val="00776819"/>
    <w:rsid w:val="00781D16"/>
    <w:rsid w:val="007871F1"/>
    <w:rsid w:val="007B25FA"/>
    <w:rsid w:val="007B741D"/>
    <w:rsid w:val="007D76ED"/>
    <w:rsid w:val="00805685"/>
    <w:rsid w:val="0081143B"/>
    <w:rsid w:val="00816BE8"/>
    <w:rsid w:val="00840E70"/>
    <w:rsid w:val="00894A11"/>
    <w:rsid w:val="00902F54"/>
    <w:rsid w:val="00916149"/>
    <w:rsid w:val="009173A2"/>
    <w:rsid w:val="00931778"/>
    <w:rsid w:val="009951AB"/>
    <w:rsid w:val="00997766"/>
    <w:rsid w:val="009B4FA6"/>
    <w:rsid w:val="009C01E5"/>
    <w:rsid w:val="009C4B4F"/>
    <w:rsid w:val="009D5BE3"/>
    <w:rsid w:val="009E0658"/>
    <w:rsid w:val="00A1646A"/>
    <w:rsid w:val="00A16AEA"/>
    <w:rsid w:val="00A41FCB"/>
    <w:rsid w:val="00A752F2"/>
    <w:rsid w:val="00A82139"/>
    <w:rsid w:val="00A873C1"/>
    <w:rsid w:val="00A92BEF"/>
    <w:rsid w:val="00A9671F"/>
    <w:rsid w:val="00A97DF5"/>
    <w:rsid w:val="00AE2871"/>
    <w:rsid w:val="00AE74EF"/>
    <w:rsid w:val="00B04394"/>
    <w:rsid w:val="00B24288"/>
    <w:rsid w:val="00B313D7"/>
    <w:rsid w:val="00B64403"/>
    <w:rsid w:val="00B700E5"/>
    <w:rsid w:val="00BA7F84"/>
    <w:rsid w:val="00BB290A"/>
    <w:rsid w:val="00BE4B71"/>
    <w:rsid w:val="00C10AB9"/>
    <w:rsid w:val="00C144E8"/>
    <w:rsid w:val="00C31B4B"/>
    <w:rsid w:val="00C32934"/>
    <w:rsid w:val="00C70E12"/>
    <w:rsid w:val="00C75E1C"/>
    <w:rsid w:val="00C90C66"/>
    <w:rsid w:val="00C91232"/>
    <w:rsid w:val="00C91902"/>
    <w:rsid w:val="00CC4F92"/>
    <w:rsid w:val="00CC623B"/>
    <w:rsid w:val="00CD32D5"/>
    <w:rsid w:val="00CE409B"/>
    <w:rsid w:val="00D17421"/>
    <w:rsid w:val="00D20D99"/>
    <w:rsid w:val="00D3028D"/>
    <w:rsid w:val="00D41B7A"/>
    <w:rsid w:val="00D46C9F"/>
    <w:rsid w:val="00D5522F"/>
    <w:rsid w:val="00D63F3F"/>
    <w:rsid w:val="00D905AA"/>
    <w:rsid w:val="00DA755E"/>
    <w:rsid w:val="00DF4875"/>
    <w:rsid w:val="00E13F52"/>
    <w:rsid w:val="00E145F8"/>
    <w:rsid w:val="00E15754"/>
    <w:rsid w:val="00E53C61"/>
    <w:rsid w:val="00E73115"/>
    <w:rsid w:val="00E764D8"/>
    <w:rsid w:val="00E84FD5"/>
    <w:rsid w:val="00EB14B8"/>
    <w:rsid w:val="00EB67BE"/>
    <w:rsid w:val="00F01CAA"/>
    <w:rsid w:val="00FB5F85"/>
    <w:rsid w:val="00FC6C3A"/>
    <w:rsid w:val="00FD72D9"/>
    <w:rsid w:val="00FF2432"/>
    <w:rsid w:val="00FF7244"/>
    <w:rsid w:val="291C20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spacing w:beforeAutospacing="1" w:afterAutospacing="1"/>
      <w:jc w:val="left"/>
      <w:outlineLvl w:val="0"/>
    </w:pPr>
    <w:rPr>
      <w:rFonts w:hint="eastAsia" w:ascii="宋体" w:hAnsi="宋体" w:eastAsia="宋体" w:cs="宋体"/>
      <w:b/>
      <w:smallCaps/>
      <w:kern w:val="44"/>
      <w:sz w:val="48"/>
      <w:szCs w:val="48"/>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Date"/>
    <w:basedOn w:val="1"/>
    <w:next w:val="1"/>
    <w:link w:val="15"/>
    <w:semiHidden/>
    <w:unhideWhenUsed/>
    <w:uiPriority w:val="99"/>
    <w:pPr>
      <w:ind w:left="100" w:leftChars="2500"/>
    </w:pPr>
  </w:style>
  <w:style w:type="paragraph" w:styleId="4">
    <w:name w:val="Balloon Text"/>
    <w:basedOn w:val="1"/>
    <w:link w:val="13"/>
    <w:semiHidden/>
    <w:unhideWhenUsed/>
    <w:uiPriority w:val="99"/>
    <w:rPr>
      <w:sz w:val="18"/>
      <w:szCs w:val="18"/>
    </w:rPr>
  </w:style>
  <w:style w:type="paragraph" w:styleId="5">
    <w:name w:val="footer"/>
    <w:basedOn w:val="1"/>
    <w:link w:val="11"/>
    <w:unhideWhenUsed/>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Times New Roman" w:hAnsi="Times New Roman" w:eastAsia="宋体" w:cs="Times New Roman"/>
      <w:kern w:val="0"/>
      <w:sz w:val="24"/>
      <w:szCs w:val="24"/>
    </w:rPr>
  </w:style>
  <w:style w:type="character" w:customStyle="1" w:styleId="10">
    <w:name w:val="页眉 Char"/>
    <w:basedOn w:val="9"/>
    <w:link w:val="6"/>
    <w:uiPriority w:val="99"/>
    <w:rPr>
      <w:sz w:val="18"/>
      <w:szCs w:val="18"/>
    </w:rPr>
  </w:style>
  <w:style w:type="character" w:customStyle="1" w:styleId="11">
    <w:name w:val="页脚 Char"/>
    <w:basedOn w:val="9"/>
    <w:link w:val="5"/>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9"/>
    <w:link w:val="4"/>
    <w:semiHidden/>
    <w:uiPriority w:val="99"/>
    <w:rPr>
      <w:sz w:val="18"/>
      <w:szCs w:val="18"/>
    </w:rPr>
  </w:style>
  <w:style w:type="character" w:customStyle="1" w:styleId="14">
    <w:name w:val="标题 1 Char"/>
    <w:basedOn w:val="9"/>
    <w:link w:val="2"/>
    <w:uiPriority w:val="0"/>
    <w:rPr>
      <w:rFonts w:ascii="宋体" w:hAnsi="宋体" w:eastAsia="宋体" w:cs="宋体"/>
      <w:b/>
      <w:smallCaps/>
      <w:kern w:val="44"/>
      <w:sz w:val="48"/>
      <w:szCs w:val="48"/>
    </w:rPr>
  </w:style>
  <w:style w:type="character" w:customStyle="1" w:styleId="15">
    <w:name w:val="日期 Char"/>
    <w:basedOn w:val="9"/>
    <w:link w:val="3"/>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Pages>
  <Words>1259</Words>
  <Characters>1279</Characters>
  <Lines>9</Lines>
  <Paragraphs>2</Paragraphs>
  <TotalTime>1068</TotalTime>
  <ScaleCrop>false</ScaleCrop>
  <LinksUpToDate>false</LinksUpToDate>
  <CharactersWithSpaces>1300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2018-03-22T07:21:00Z</dcterms:created>
  <dc:creator>User</dc:creator>
  <cp:lastModifiedBy>邱</cp:lastModifiedBy>
  <cp:lastPrinted>2019-06-03T03:40:00Z</cp:lastPrinted>
  <dcterms:modified xsi:type="dcterms:W3CDTF">2026-08-19T00:41:36Z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eyJoZGlkIjoiZjZlOWNlZjJiYjVmNDliOTI4MmZmODJlZjA1YTg3MWIiLCJ1c2VySWQiOiI2NzM1ODU5MjkifQ==</vt:lpwstr>
  </property>
  <property fmtid="{D5CDD505-2E9C-101B-9397-08002B2CF9AE}" pid="3" name="KSOProductBuildVer">
    <vt:lpwstr>2052-12.1.0.28043</vt:lpwstr>
  </property>
  <property fmtid="{D5CDD505-2E9C-101B-9397-08002B2CF9AE}" pid="4" name="ICV">
    <vt:lpwstr>330910E813FD42E28EACCDA5C0CB4083_12</vt:lpwstr>
  </property>
</Properties>
</file>