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CF8538">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pacing w:val="-6"/>
          <w:sz w:val="44"/>
          <w:szCs w:val="44"/>
          <w:lang w:val="en" w:eastAsia="zh-CN"/>
        </w:rPr>
      </w:pPr>
      <w:bookmarkStart w:id="2" w:name="_GoBack"/>
      <w:bookmarkEnd w:id="2"/>
      <w:r>
        <w:rPr>
          <w:rFonts w:hint="eastAsia" w:ascii="方正小标宋简体" w:hAnsi="方正小标宋简体" w:eastAsia="方正小标宋简体" w:cs="方正小标宋简体"/>
          <w:b w:val="0"/>
          <w:bCs w:val="0"/>
          <w:color w:val="auto"/>
          <w:spacing w:val="-6"/>
          <w:sz w:val="44"/>
          <w:szCs w:val="44"/>
          <w:lang w:val="en" w:eastAsia="zh-CN"/>
        </w:rPr>
        <w:t>庄河市商务领域安全生产治本攻坚</w:t>
      </w:r>
    </w:p>
    <w:p w14:paraId="726FBD6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pacing w:val="-6"/>
          <w:sz w:val="44"/>
          <w:szCs w:val="44"/>
          <w:lang w:val="en" w:eastAsia="zh-CN"/>
        </w:rPr>
      </w:pPr>
      <w:bookmarkStart w:id="0" w:name="_Toc2107435688"/>
      <w:bookmarkStart w:id="1" w:name="_Toc859319814"/>
      <w:r>
        <w:rPr>
          <w:rFonts w:hint="eastAsia" w:ascii="方正小标宋简体" w:hAnsi="方正小标宋简体" w:eastAsia="方正小标宋简体" w:cs="方正小标宋简体"/>
          <w:b w:val="0"/>
          <w:bCs w:val="0"/>
          <w:color w:val="auto"/>
          <w:spacing w:val="-6"/>
          <w:sz w:val="44"/>
          <w:szCs w:val="44"/>
          <w:lang w:val="en" w:eastAsia="zh-CN"/>
        </w:rPr>
        <w:t>三年行动方案（2024—2026年）</w:t>
      </w:r>
      <w:bookmarkEnd w:id="0"/>
      <w:bookmarkEnd w:id="1"/>
    </w:p>
    <w:p w14:paraId="49E5BC57">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rPr>
          <w:rFonts w:hint="eastAsia" w:ascii="仿宋_GB2312" w:hAnsi="仿宋_GB2312" w:eastAsia="仿宋_GB2312" w:cs="仿宋_GB2312"/>
          <w:b w:val="0"/>
          <w:bCs w:val="0"/>
          <w:color w:val="auto"/>
          <w:sz w:val="32"/>
          <w:szCs w:val="32"/>
          <w:lang w:eastAsia="zh-CN"/>
        </w:rPr>
      </w:pPr>
    </w:p>
    <w:p w14:paraId="21477CF3">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shd w:val="clear" w:color="auto" w:fill="FFFFFF"/>
          <w:lang w:val="en-US" w:eastAsia="zh-CN"/>
        </w:rPr>
      </w:pPr>
      <w:r>
        <w:rPr>
          <w:rFonts w:hint="eastAsia" w:ascii="仿宋_GB2312" w:hAnsi="仿宋_GB2312" w:eastAsia="仿宋_GB2312" w:cs="仿宋_GB2312"/>
          <w:b w:val="0"/>
          <w:bCs w:val="0"/>
          <w:color w:val="auto"/>
          <w:sz w:val="32"/>
          <w:szCs w:val="32"/>
          <w:shd w:val="clear" w:color="auto" w:fill="FFFFFF"/>
          <w:lang w:val="en-US" w:eastAsia="zh-CN"/>
        </w:rPr>
        <w:t>为认真贯彻落实习近平总书记关于安全生产系列重要指示精神，进一步夯实商务相关行业领域安全生产基础，坚决防范遏制重特大生产安全事故，按照《庄河市安全生产治本攻坚三年行动方案（2024—2026年）》和《大连市商务领域安全生产治本攻坚三年行动方案（2024—2026年）》相关要求，市商务局结合工作实际制定本方案。</w:t>
      </w:r>
    </w:p>
    <w:p w14:paraId="3B001461">
      <w:pPr>
        <w:pStyle w:val="3"/>
        <w:keepNext w:val="0"/>
        <w:keepLines w:val="0"/>
        <w:pageBreakBefore w:val="0"/>
        <w:widowControl w:val="0"/>
        <w:tabs>
          <w:tab w:val="left" w:pos="0"/>
        </w:tabs>
        <w:kinsoku/>
        <w:wordWrap/>
        <w:overflowPunct/>
        <w:topLinePunct w:val="0"/>
        <w:autoSpaceDE/>
        <w:autoSpaceDN/>
        <w:bidi w:val="0"/>
        <w:adjustRightInd/>
        <w:snapToGrid/>
        <w:spacing w:before="0" w:beforeLines="0" w:beforeAutospacing="0" w:after="0" w:afterLines="0" w:afterAutospacing="0" w:line="600" w:lineRule="exact"/>
        <w:ind w:left="0" w:leftChars="0"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一、工作目标</w:t>
      </w:r>
    </w:p>
    <w:p w14:paraId="5BFCA246">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shd w:val="clear" w:color="auto" w:fill="FFFFFF"/>
          <w:lang w:val="en-US" w:eastAsia="zh-CN"/>
        </w:rPr>
      </w:pPr>
      <w:r>
        <w:rPr>
          <w:rFonts w:hint="eastAsia" w:ascii="仿宋_GB2312" w:hAnsi="仿宋_GB2312" w:eastAsia="仿宋_GB2312" w:cs="仿宋_GB2312"/>
          <w:b w:val="0"/>
          <w:bCs w:val="0"/>
          <w:color w:val="auto"/>
          <w:sz w:val="32"/>
          <w:szCs w:val="32"/>
          <w:shd w:val="clear" w:color="auto" w:fill="FFFFFF"/>
          <w:lang w:val="en-US" w:eastAsia="zh-CN"/>
        </w:rPr>
        <w:t>通过三年治本攻坚，推动安全生产理念和要求进行业规划、进产业政策、进法规标准、进行政许可（以下简称“四进”），促进各行业企业切实提升安全发展理念和责任意识，</w:t>
      </w:r>
      <w:r>
        <w:rPr>
          <w:rFonts w:hint="eastAsia" w:ascii="仿宋_GB2312" w:hAnsi="仿宋_GB2312" w:eastAsia="仿宋_GB2312" w:cs="仿宋_GB2312"/>
          <w:b w:val="0"/>
          <w:bCs w:val="0"/>
          <w:color w:val="auto"/>
          <w:sz w:val="32"/>
          <w:szCs w:val="32"/>
          <w:highlight w:val="none"/>
          <w:shd w:val="clear" w:color="auto" w:fill="FFFFFF"/>
          <w:lang w:val="en-US" w:eastAsia="zh-CN"/>
        </w:rPr>
        <w:t>安全生产治理模式向事前预防转型，</w:t>
      </w:r>
      <w:r>
        <w:rPr>
          <w:rFonts w:hint="eastAsia" w:ascii="仿宋_GB2312" w:hAnsi="仿宋_GB2312" w:eastAsia="仿宋_GB2312" w:cs="仿宋_GB2312"/>
          <w:b w:val="0"/>
          <w:bCs w:val="0"/>
          <w:color w:val="auto"/>
          <w:sz w:val="32"/>
          <w:szCs w:val="32"/>
          <w:shd w:val="clear" w:color="auto" w:fill="FFFFFF"/>
          <w:lang w:val="en-US" w:eastAsia="zh-CN"/>
        </w:rPr>
        <w:t>努力从根本上消除事故隐患。2024年底前全面梳理“四进”工作情况，2025年底前切实提升“四进”工作水平，2026年底前行业安全生产管理水平有效提升，齐抓共管、</w:t>
      </w:r>
      <w:r>
        <w:rPr>
          <w:rFonts w:hint="eastAsia" w:ascii="仿宋_GB2312" w:hAnsi="仿宋_GB2312" w:eastAsia="仿宋_GB2312" w:cs="仿宋_GB2312"/>
          <w:b w:val="0"/>
          <w:bCs w:val="0"/>
          <w:color w:val="auto"/>
          <w:sz w:val="32"/>
          <w:szCs w:val="32"/>
          <w:shd w:val="clear" w:color="auto" w:fill="FFFFFF"/>
          <w:lang w:eastAsia="zh-CN"/>
        </w:rPr>
        <w:t>多方联动的工作格局基本建立，</w:t>
      </w:r>
      <w:r>
        <w:rPr>
          <w:rFonts w:hint="eastAsia" w:ascii="仿宋_GB2312" w:hAnsi="仿宋_GB2312" w:cs="仿宋_GB2312"/>
          <w:b w:val="0"/>
          <w:bCs w:val="0"/>
          <w:color w:val="auto"/>
          <w:sz w:val="32"/>
          <w:szCs w:val="32"/>
          <w:shd w:val="clear" w:color="auto" w:fill="FFFFFF"/>
          <w:lang w:val="en-US" w:eastAsia="zh-CN"/>
        </w:rPr>
        <w:t>全市</w:t>
      </w:r>
      <w:r>
        <w:rPr>
          <w:rFonts w:hint="eastAsia" w:ascii="仿宋_GB2312" w:hAnsi="仿宋_GB2312" w:eastAsia="仿宋_GB2312" w:cs="仿宋_GB2312"/>
          <w:b w:val="0"/>
          <w:bCs w:val="0"/>
          <w:color w:val="auto"/>
          <w:sz w:val="32"/>
          <w:szCs w:val="32"/>
          <w:shd w:val="clear" w:color="auto" w:fill="FFFFFF"/>
          <w:lang w:val="en-US" w:eastAsia="zh-CN"/>
        </w:rPr>
        <w:t>商务领域安全生产形势持续稳定，为</w:t>
      </w:r>
      <w:r>
        <w:rPr>
          <w:rFonts w:hint="eastAsia" w:ascii="仿宋_GB2312" w:hAnsi="仿宋_GB2312" w:cs="仿宋_GB2312"/>
          <w:b w:val="0"/>
          <w:bCs w:val="0"/>
          <w:color w:val="auto"/>
          <w:sz w:val="32"/>
          <w:szCs w:val="32"/>
          <w:shd w:val="clear" w:color="auto" w:fill="FFFFFF"/>
          <w:lang w:val="en-US" w:eastAsia="zh-CN"/>
        </w:rPr>
        <w:t>全市</w:t>
      </w:r>
      <w:r>
        <w:rPr>
          <w:rFonts w:hint="eastAsia" w:ascii="仿宋_GB2312" w:hAnsi="仿宋_GB2312" w:eastAsia="仿宋_GB2312" w:cs="仿宋_GB2312"/>
          <w:b w:val="0"/>
          <w:bCs w:val="0"/>
          <w:color w:val="auto"/>
          <w:sz w:val="32"/>
          <w:szCs w:val="32"/>
          <w:shd w:val="clear" w:color="auto" w:fill="FFFFFF"/>
          <w:lang w:val="en-US" w:eastAsia="zh-CN"/>
        </w:rPr>
        <w:t>商务高质量发展提供有力安全保障。</w:t>
      </w:r>
    </w:p>
    <w:p w14:paraId="35472230">
      <w:pPr>
        <w:pStyle w:val="3"/>
        <w:keepNext w:val="0"/>
        <w:keepLines w:val="0"/>
        <w:pageBreakBefore w:val="0"/>
        <w:widowControl w:val="0"/>
        <w:tabs>
          <w:tab w:val="left" w:pos="0"/>
        </w:tabs>
        <w:kinsoku/>
        <w:wordWrap/>
        <w:overflowPunct/>
        <w:topLinePunct w:val="0"/>
        <w:autoSpaceDE/>
        <w:autoSpaceDN/>
        <w:bidi w:val="0"/>
        <w:adjustRightInd/>
        <w:snapToGrid/>
        <w:spacing w:before="0" w:beforeLines="0" w:beforeAutospacing="0" w:after="0" w:afterLines="0" w:afterAutospacing="0" w:line="600" w:lineRule="exact"/>
        <w:ind w:left="0" w:leftChars="0" w:firstLine="640"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二、主要任务</w:t>
      </w:r>
    </w:p>
    <w:p w14:paraId="38D21E7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eastAsia="楷体_GB2312"/>
          <w:b w:val="0"/>
          <w:bCs w:val="0"/>
          <w:color w:val="000000"/>
          <w:sz w:val="32"/>
          <w:szCs w:val="32"/>
        </w:rPr>
      </w:pPr>
      <w:r>
        <w:rPr>
          <w:rFonts w:hint="eastAsia" w:ascii="楷体_GB2312" w:eastAsia="楷体_GB2312"/>
          <w:b w:val="0"/>
          <w:bCs w:val="0"/>
          <w:color w:val="000000"/>
          <w:sz w:val="32"/>
          <w:szCs w:val="32"/>
        </w:rPr>
        <w:t>（一）发挥行业规划引领作用</w:t>
      </w:r>
    </w:p>
    <w:p w14:paraId="5C5164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通过行业规划引领行业安全发展。在开展商贸流通、对外贸易、服务贸易、利用外资等相关“十四五”发展规划终期评估工作时，同步开展安全生产工作评估，促进安全生产有关要求落实到位。在制定出台“十五五”等相关行业发展规划、指导行业协会出台相关规划时，切实将安全生产要求纳入规划中，突出安全生产工作的重要性，引领各行业统筹好发展和安全。</w:t>
      </w:r>
    </w:p>
    <w:p w14:paraId="138349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eastAsia="楷体_GB2312"/>
          <w:b w:val="0"/>
          <w:bCs w:val="0"/>
          <w:color w:val="000000"/>
          <w:sz w:val="32"/>
          <w:szCs w:val="32"/>
        </w:rPr>
      </w:pPr>
      <w:r>
        <w:rPr>
          <w:rFonts w:hint="eastAsia" w:ascii="楷体_GB2312" w:eastAsia="楷体_GB2312"/>
          <w:b w:val="0"/>
          <w:bCs w:val="0"/>
          <w:color w:val="000000"/>
          <w:sz w:val="32"/>
          <w:szCs w:val="32"/>
        </w:rPr>
        <w:t>（二）提升产业政策促进效果</w:t>
      </w:r>
    </w:p>
    <w:p w14:paraId="2EED28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2.发挥考核评估“指挥棒”“风向标”作用。严格落实商务部有关安全生产工作要求，有效防范遏制安全生产事故发生，确保在考核评估工作中，不因安全生产事项减扣分值。</w:t>
      </w:r>
    </w:p>
    <w:p w14:paraId="701C88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3.将安全生产要求融入产业政策。按照商务部有关工作部署，将“提升安全生产水平”作为促进餐饮行业高质量发展的重要内容，强化行业安全管理工作。严格落实中央储备商品管理等政策文件中对安全事项的规定要求，在老字号示范创建、县域商业体系建设等相关工作中，进一步明确安全生产要求，压实各方安全生产责任。</w:t>
      </w:r>
    </w:p>
    <w:p w14:paraId="372388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rPr>
        <w:t>4.发挥行业协会作用，加强行业自律。指导相关行业协会发布安全生产自律倡议和风险提醒，组织安全生产公益培训讲座，开展安全生产自查自改，为做好行业安全生产工作提供更多支撑。通过不定期发送安全生产提示信息，扩大督促指导覆盖范围。</w:t>
      </w:r>
      <w:r>
        <w:rPr>
          <w:rFonts w:hint="eastAsia" w:ascii="仿宋_GB2312" w:hAnsi="仿宋_GB2312" w:eastAsia="仿宋_GB2312" w:cs="仿宋_GB2312"/>
          <w:b w:val="0"/>
          <w:bCs w:val="0"/>
          <w:color w:val="000000"/>
          <w:sz w:val="32"/>
          <w:szCs w:val="32"/>
          <w:lang w:val="en-US" w:eastAsia="zh-CN"/>
        </w:rPr>
        <w:t xml:space="preserve"> </w:t>
      </w:r>
    </w:p>
    <w:p w14:paraId="6C1F74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eastAsia="楷体_GB2312"/>
          <w:b w:val="0"/>
          <w:bCs w:val="0"/>
          <w:color w:val="000000"/>
          <w:sz w:val="32"/>
          <w:szCs w:val="32"/>
        </w:rPr>
      </w:pPr>
      <w:r>
        <w:rPr>
          <w:rFonts w:hint="eastAsia" w:ascii="楷体_GB2312" w:eastAsia="楷体_GB2312"/>
          <w:b w:val="0"/>
          <w:bCs w:val="0"/>
          <w:color w:val="000000"/>
          <w:sz w:val="32"/>
          <w:szCs w:val="32"/>
        </w:rPr>
        <w:t>（三）强化法规标准宣贯执行</w:t>
      </w:r>
    </w:p>
    <w:p w14:paraId="12F4A6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5.在法规标准中宣贯安全生产理念。深入贯彻新修订出台的《餐饮业经营管理办法》《成品油流通管理办法》等法规及餐饮等商贸服务业标准中有关安全生产规定内容。指导相关行业协会将安全生产纳入拟制订发布的团体标准。加强企业安全生产标准化管理体系基本规范、小微企业安全生产标准化管理体系基本规范宣贯。督促有关行业经营单位认真落实有关安全生产要求，建立健全安全生产管理体系，确保安全生产理念和要求融入行业发展。</w:t>
      </w:r>
    </w:p>
    <w:p w14:paraId="5455CB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eastAsia="楷体_GB2312"/>
          <w:b w:val="0"/>
          <w:bCs w:val="0"/>
          <w:color w:val="000000"/>
          <w:sz w:val="32"/>
          <w:szCs w:val="32"/>
        </w:rPr>
      </w:pPr>
      <w:r>
        <w:rPr>
          <w:rFonts w:hint="eastAsia" w:ascii="楷体_GB2312" w:eastAsia="楷体_GB2312"/>
          <w:b w:val="0"/>
          <w:bCs w:val="0"/>
          <w:color w:val="000000"/>
          <w:sz w:val="32"/>
          <w:szCs w:val="32"/>
        </w:rPr>
        <w:t>（四）加强行政许可安全规范</w:t>
      </w:r>
    </w:p>
    <w:p w14:paraId="1EE98C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6.通过行政许可规范行业安全发展。严格执行成品油流通、报废机动车回收拆解等管理制度，</w:t>
      </w:r>
      <w:r>
        <w:rPr>
          <w:rFonts w:hint="eastAsia" w:ascii="仿宋_GB2312" w:hAnsi="仿宋_GB2312" w:eastAsia="仿宋_GB2312" w:cs="仿宋_GB2312"/>
          <w:b w:val="0"/>
          <w:bCs w:val="0"/>
          <w:color w:val="000000"/>
          <w:sz w:val="32"/>
          <w:szCs w:val="32"/>
          <w:lang w:eastAsia="zh-CN"/>
        </w:rPr>
        <w:t>督促指导相关</w:t>
      </w:r>
      <w:r>
        <w:rPr>
          <w:rFonts w:hint="eastAsia" w:ascii="仿宋_GB2312" w:hAnsi="仿宋_GB2312" w:eastAsia="仿宋_GB2312" w:cs="仿宋_GB2312"/>
          <w:b w:val="0"/>
          <w:bCs w:val="0"/>
          <w:color w:val="000000"/>
          <w:sz w:val="32"/>
          <w:szCs w:val="32"/>
        </w:rPr>
        <w:t>企业</w:t>
      </w:r>
      <w:r>
        <w:rPr>
          <w:rFonts w:hint="eastAsia" w:ascii="仿宋_GB2312" w:hAnsi="仿宋_GB2312" w:eastAsia="仿宋_GB2312" w:cs="仿宋_GB2312"/>
          <w:b w:val="0"/>
          <w:bCs w:val="0"/>
          <w:color w:val="000000"/>
          <w:sz w:val="32"/>
          <w:szCs w:val="32"/>
          <w:lang w:eastAsia="zh-CN"/>
        </w:rPr>
        <w:t>加大</w:t>
      </w:r>
      <w:r>
        <w:rPr>
          <w:rFonts w:hint="eastAsia" w:ascii="仿宋_GB2312" w:hAnsi="仿宋_GB2312" w:eastAsia="仿宋_GB2312" w:cs="仿宋_GB2312"/>
          <w:b w:val="0"/>
          <w:bCs w:val="0"/>
          <w:color w:val="000000"/>
          <w:sz w:val="32"/>
          <w:szCs w:val="32"/>
        </w:rPr>
        <w:t>安全生产投入和</w:t>
      </w:r>
      <w:r>
        <w:rPr>
          <w:rFonts w:hint="eastAsia" w:ascii="仿宋_GB2312" w:hAnsi="仿宋_GB2312" w:eastAsia="仿宋_GB2312" w:cs="仿宋_GB2312"/>
          <w:b w:val="0"/>
          <w:bCs w:val="0"/>
          <w:color w:val="000000"/>
          <w:sz w:val="32"/>
          <w:szCs w:val="32"/>
          <w:lang w:eastAsia="zh-CN"/>
        </w:rPr>
        <w:t>提高安全生产</w:t>
      </w:r>
      <w:r>
        <w:rPr>
          <w:rFonts w:hint="eastAsia" w:ascii="仿宋_GB2312" w:hAnsi="仿宋_GB2312" w:eastAsia="仿宋_GB2312" w:cs="仿宋_GB2312"/>
          <w:b w:val="0"/>
          <w:bCs w:val="0"/>
          <w:color w:val="000000"/>
          <w:sz w:val="32"/>
          <w:szCs w:val="32"/>
        </w:rPr>
        <w:t>管理水平。按照商务部相关产品进出口管理公告、出口配额下达通知中有关安全生产要求，推动企业落实安全生产主体责任。在境内举办的涉外经济技术展览会活动中贯彻安全生产要求，查验主办单位是否制定展览活动安全生产及应急预案，查验是否按照《大型群众性活动安全管理条例》制定安全工作方案并取得相应级别人民政府公安机关批复的活动安全许可，落实安全生产措施和责任。</w:t>
      </w:r>
    </w:p>
    <w:p w14:paraId="6B28B50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eastAsia="楷体_GB2312"/>
          <w:b w:val="0"/>
          <w:bCs w:val="0"/>
          <w:color w:val="000000"/>
          <w:sz w:val="32"/>
          <w:szCs w:val="32"/>
        </w:rPr>
      </w:pPr>
      <w:r>
        <w:rPr>
          <w:rFonts w:hint="eastAsia" w:ascii="楷体_GB2312" w:eastAsia="楷体_GB2312"/>
          <w:b w:val="0"/>
          <w:bCs w:val="0"/>
          <w:color w:val="000000"/>
          <w:sz w:val="32"/>
          <w:szCs w:val="32"/>
        </w:rPr>
        <w:t>（五）深入开展商务领域安全风险隐患排查整治</w:t>
      </w:r>
    </w:p>
    <w:p w14:paraId="23710DB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楷体_GB2312" w:eastAsia="楷体_GB2312"/>
          <w:b w:val="0"/>
          <w:bCs w:val="0"/>
          <w:color w:val="000000"/>
          <w:sz w:val="32"/>
          <w:szCs w:val="32"/>
        </w:rPr>
      </w:pPr>
      <w:r>
        <w:rPr>
          <w:rFonts w:hint="eastAsia" w:ascii="仿宋_GB2312" w:hAnsi="仿宋_GB2312" w:eastAsia="仿宋_GB2312" w:cs="仿宋_GB2312"/>
          <w:b w:val="0"/>
          <w:bCs w:val="0"/>
          <w:color w:val="000000"/>
          <w:sz w:val="32"/>
          <w:szCs w:val="32"/>
        </w:rPr>
        <w:t>7.着力做好重要时段风险防范。针对元旦春节、“五一”、“十一”等重要节日，冰冻雨雪、高温防汛等极端天气时段以及</w:t>
      </w:r>
      <w:r>
        <w:rPr>
          <w:rFonts w:hint="eastAsia" w:ascii="仿宋_GB2312" w:hAnsi="仿宋_GB2312" w:eastAsia="仿宋_GB2312" w:cs="仿宋_GB2312"/>
          <w:b w:val="0"/>
          <w:bCs w:val="0"/>
          <w:color w:val="000000"/>
          <w:sz w:val="32"/>
          <w:szCs w:val="32"/>
          <w:lang w:eastAsia="zh-CN"/>
        </w:rPr>
        <w:t>国家和省市“</w:t>
      </w:r>
      <w:r>
        <w:rPr>
          <w:rFonts w:hint="eastAsia" w:ascii="仿宋_GB2312" w:hAnsi="仿宋_GB2312" w:eastAsia="仿宋_GB2312" w:cs="仿宋_GB2312"/>
          <w:b w:val="0"/>
          <w:bCs w:val="0"/>
          <w:color w:val="000000"/>
          <w:sz w:val="32"/>
          <w:szCs w:val="32"/>
        </w:rPr>
        <w:t>两会”</w:t>
      </w:r>
      <w:r>
        <w:rPr>
          <w:rFonts w:hint="eastAsia" w:ascii="仿宋_GB2312" w:hAnsi="仿宋_GB2312" w:eastAsia="仿宋_GB2312" w:cs="仿宋_GB2312"/>
          <w:b w:val="0"/>
          <w:bCs w:val="0"/>
          <w:color w:val="000000"/>
          <w:sz w:val="32"/>
          <w:szCs w:val="32"/>
          <w:lang w:eastAsia="zh-CN"/>
        </w:rPr>
        <w:t>、夏季达沃斯峰会</w:t>
      </w:r>
      <w:r>
        <w:rPr>
          <w:rFonts w:hint="eastAsia" w:ascii="仿宋_GB2312" w:hAnsi="仿宋_GB2312" w:eastAsia="仿宋_GB2312" w:cs="仿宋_GB2312"/>
          <w:b w:val="0"/>
          <w:bCs w:val="0"/>
          <w:color w:val="000000"/>
          <w:sz w:val="32"/>
          <w:szCs w:val="32"/>
        </w:rPr>
        <w:t>等重大活动，加强风险研判、加大人员力量、加密检查频次，突出人员密集场所和事故高发行业，全面排查整治各类风险隐患，全力做好安全风险防范工作。</w:t>
      </w:r>
    </w:p>
    <w:p w14:paraId="23AD10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b w:val="0"/>
          <w:bCs w:val="0"/>
          <w:color w:val="000000"/>
          <w:sz w:val="32"/>
          <w:szCs w:val="32"/>
        </w:rPr>
      </w:pPr>
      <w:r>
        <w:rPr>
          <w:rFonts w:hint="eastAsia" w:ascii="仿宋_GB2312" w:hAnsi="仿宋_GB2312" w:eastAsia="仿宋_GB2312" w:cs="仿宋_GB2312"/>
          <w:b w:val="0"/>
          <w:bCs w:val="0"/>
          <w:color w:val="000000"/>
          <w:sz w:val="32"/>
          <w:szCs w:val="32"/>
        </w:rPr>
        <w:t>8.突出抓好关键环节问题整治。重点围绕消防安全、燃气安全、特种设备安全和房屋安全等方面，指导有关经营单位健全完善风险隐患自查自改常态化工作机制</w:t>
      </w:r>
      <w:r>
        <w:rPr>
          <w:rFonts w:hint="eastAsia" w:ascii="仿宋_GB2312" w:hAnsi="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lang w:eastAsia="zh-CN"/>
        </w:rPr>
        <w:t>全面落实安全生产“四项机制”、“安全三日”和“吹哨人”等制度</w:t>
      </w:r>
      <w:r>
        <w:rPr>
          <w:rFonts w:hint="eastAsia" w:ascii="仿宋_GB2312" w:hAnsi="仿宋_GB2312" w:eastAsia="仿宋_GB2312" w:cs="仿宋_GB2312"/>
          <w:b w:val="0"/>
          <w:bCs w:val="0"/>
          <w:color w:val="000000"/>
          <w:sz w:val="32"/>
          <w:szCs w:val="32"/>
        </w:rPr>
        <w:t>。</w:t>
      </w:r>
      <w:r>
        <w:rPr>
          <w:rFonts w:hint="eastAsia" w:ascii="仿宋_GB2312" w:hAnsi="仿宋_GB2312" w:eastAsia="仿宋_GB2312" w:cs="仿宋_GB2312"/>
          <w:b w:val="0"/>
          <w:bCs w:val="0"/>
          <w:color w:val="000000"/>
          <w:sz w:val="32"/>
          <w:szCs w:val="32"/>
          <w:lang w:eastAsia="zh-CN"/>
        </w:rPr>
        <w:t>采取实地督导、“四不两直”</w:t>
      </w:r>
      <w:r>
        <w:rPr>
          <w:rFonts w:hint="eastAsia" w:ascii="仿宋_GB2312" w:hAnsi="仿宋_GB2312" w:eastAsia="仿宋_GB2312" w:cs="仿宋_GB2312"/>
          <w:b w:val="0"/>
          <w:bCs w:val="0"/>
          <w:color w:val="000000"/>
          <w:sz w:val="32"/>
          <w:szCs w:val="32"/>
        </w:rPr>
        <w:t>等方式，持续开展问题隐患排查整治，建立工作台账，认真做好记录，及时将重要问题线索移交给相关专业监管执法部门处理，全程做好跟踪督办，形成闭环管理。</w:t>
      </w:r>
    </w:p>
    <w:p w14:paraId="3F2F16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eastAsia="仿宋_GB2312"/>
          <w:b w:val="0"/>
          <w:bCs w:val="0"/>
          <w:color w:val="000000"/>
          <w:sz w:val="32"/>
          <w:szCs w:val="32"/>
        </w:rPr>
      </w:pPr>
      <w:r>
        <w:rPr>
          <w:rFonts w:hint="eastAsia" w:ascii="仿宋_GB2312" w:hAnsi="仿宋_GB2312" w:eastAsia="仿宋_GB2312" w:cs="仿宋_GB2312"/>
          <w:b w:val="0"/>
          <w:bCs w:val="0"/>
          <w:color w:val="000000"/>
          <w:sz w:val="32"/>
          <w:szCs w:val="32"/>
        </w:rPr>
        <w:t>9.深入开展专项领域隐患排查。加强与相关监管和执法部门协调联动，积极配合有关牵头部门深入开展“冬春火灾防控”、“燃气安全整治”等专项行动，加强联合执法，做好联防联动。聚集突出问题、薄弱环节，督促有关</w:t>
      </w:r>
      <w:r>
        <w:rPr>
          <w:rFonts w:hint="eastAsia" w:ascii="仿宋_GB2312" w:hAnsi="仿宋_GB2312" w:eastAsia="仿宋_GB2312" w:cs="仿宋_GB2312"/>
          <w:b w:val="0"/>
          <w:bCs w:val="0"/>
          <w:color w:val="000000"/>
          <w:sz w:val="32"/>
          <w:szCs w:val="32"/>
          <w:lang w:eastAsia="zh-CN"/>
        </w:rPr>
        <w:t>经营</w:t>
      </w:r>
      <w:r>
        <w:rPr>
          <w:rFonts w:hint="eastAsia" w:ascii="仿宋_GB2312" w:hAnsi="仿宋_GB2312" w:eastAsia="仿宋_GB2312" w:cs="仿宋_GB2312"/>
          <w:b w:val="0"/>
          <w:bCs w:val="0"/>
          <w:color w:val="000000"/>
          <w:sz w:val="32"/>
          <w:szCs w:val="32"/>
        </w:rPr>
        <w:t>主体及时做好问题整改，严格落实各项安全防范措施，推动安全生产主体责任落实到位。2024年底前初步建立</w:t>
      </w:r>
      <w:r>
        <w:rPr>
          <w:rFonts w:hint="eastAsia" w:ascii="仿宋_GB2312" w:hAnsi="仿宋_GB2312" w:cs="仿宋_GB2312"/>
          <w:b w:val="0"/>
          <w:bCs w:val="0"/>
          <w:color w:val="000000"/>
          <w:sz w:val="32"/>
          <w:szCs w:val="32"/>
          <w:lang w:eastAsia="zh-CN"/>
        </w:rPr>
        <w:t>与</w:t>
      </w:r>
      <w:r>
        <w:rPr>
          <w:rFonts w:hint="eastAsia" w:ascii="仿宋_GB2312" w:hAnsi="仿宋_GB2312" w:eastAsia="仿宋_GB2312" w:cs="仿宋_GB2312"/>
          <w:b w:val="0"/>
          <w:bCs w:val="0"/>
          <w:color w:val="000000"/>
          <w:sz w:val="32"/>
          <w:szCs w:val="32"/>
        </w:rPr>
        <w:t>负有安全监管职责的有关部门开展联合督导检查、重大事故隐患排查整治等工作机制，2025年底前实现工作机制常态化，2026年底前形成齐抓共管工作格局。</w:t>
      </w:r>
    </w:p>
    <w:p w14:paraId="1B552D5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eastAsia="楷体_GB2312"/>
          <w:b w:val="0"/>
          <w:bCs w:val="0"/>
          <w:color w:val="000000"/>
          <w:sz w:val="32"/>
          <w:szCs w:val="32"/>
        </w:rPr>
      </w:pPr>
      <w:r>
        <w:rPr>
          <w:rFonts w:hint="eastAsia" w:ascii="楷体_GB2312" w:eastAsia="楷体_GB2312"/>
          <w:b w:val="0"/>
          <w:bCs w:val="0"/>
          <w:color w:val="000000"/>
          <w:sz w:val="32"/>
          <w:szCs w:val="32"/>
        </w:rPr>
        <w:t>（六）开展全</w:t>
      </w:r>
      <w:r>
        <w:rPr>
          <w:rFonts w:hint="eastAsia" w:ascii="楷体_GB2312" w:eastAsia="楷体_GB2312"/>
          <w:b w:val="0"/>
          <w:bCs w:val="0"/>
          <w:color w:val="000000"/>
          <w:sz w:val="32"/>
          <w:szCs w:val="32"/>
          <w:lang w:eastAsia="zh-CN"/>
        </w:rPr>
        <w:t>市</w:t>
      </w:r>
      <w:r>
        <w:rPr>
          <w:rFonts w:hint="eastAsia" w:ascii="楷体_GB2312" w:eastAsia="楷体_GB2312"/>
          <w:b w:val="0"/>
          <w:bCs w:val="0"/>
          <w:color w:val="000000"/>
          <w:sz w:val="32"/>
          <w:szCs w:val="32"/>
        </w:rPr>
        <w:t>商务系统和重点经营单位安全培训</w:t>
      </w:r>
    </w:p>
    <w:p w14:paraId="1184601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10.结合行业领域特点针对性强化安全培训。对</w:t>
      </w:r>
      <w:r>
        <w:rPr>
          <w:rFonts w:hint="eastAsia" w:ascii="仿宋_GB2312" w:hAnsi="仿宋_GB2312" w:eastAsia="仿宋_GB2312" w:cs="仿宋_GB2312"/>
          <w:b w:val="0"/>
          <w:bCs w:val="0"/>
          <w:color w:val="000000"/>
          <w:sz w:val="32"/>
          <w:szCs w:val="32"/>
          <w:lang w:eastAsia="zh-CN"/>
        </w:rPr>
        <w:t>乡镇（街道）</w:t>
      </w:r>
      <w:r>
        <w:rPr>
          <w:rFonts w:hint="eastAsia" w:ascii="仿宋_GB2312" w:hAnsi="仿宋_GB2312" w:eastAsia="仿宋_GB2312" w:cs="仿宋_GB2312"/>
          <w:b w:val="0"/>
          <w:bCs w:val="0"/>
          <w:color w:val="000000"/>
          <w:sz w:val="32"/>
          <w:szCs w:val="32"/>
        </w:rPr>
        <w:t>负责行业安全管理的同志开展</w:t>
      </w:r>
      <w:r>
        <w:rPr>
          <w:rFonts w:hint="eastAsia" w:ascii="仿宋_GB2312" w:hAnsi="仿宋_GB2312" w:cs="仿宋_GB2312"/>
          <w:b w:val="0"/>
          <w:bCs w:val="0"/>
          <w:color w:val="000000"/>
          <w:sz w:val="32"/>
          <w:szCs w:val="32"/>
          <w:lang w:eastAsia="zh-CN"/>
        </w:rPr>
        <w:t>专项</w:t>
      </w:r>
      <w:r>
        <w:rPr>
          <w:rFonts w:hint="eastAsia" w:ascii="仿宋_GB2312" w:hAnsi="仿宋_GB2312" w:eastAsia="仿宋_GB2312" w:cs="仿宋_GB2312"/>
          <w:b w:val="0"/>
          <w:bCs w:val="0"/>
          <w:color w:val="000000"/>
          <w:sz w:val="32"/>
          <w:szCs w:val="32"/>
        </w:rPr>
        <w:t>培训，实现全员覆盖。指导</w:t>
      </w:r>
      <w:r>
        <w:rPr>
          <w:rFonts w:hint="eastAsia" w:ascii="仿宋_GB2312" w:hAnsi="仿宋_GB2312" w:eastAsia="仿宋_GB2312" w:cs="仿宋_GB2312"/>
          <w:b w:val="0"/>
          <w:bCs w:val="0"/>
          <w:color w:val="000000"/>
          <w:sz w:val="32"/>
          <w:szCs w:val="32"/>
          <w:lang w:eastAsia="zh-CN"/>
        </w:rPr>
        <w:t>各乡镇（街道）</w:t>
      </w:r>
      <w:r>
        <w:rPr>
          <w:rFonts w:hint="eastAsia" w:ascii="仿宋_GB2312" w:hAnsi="仿宋_GB2312" w:eastAsia="仿宋_GB2312" w:cs="仿宋_GB2312"/>
          <w:b w:val="0"/>
          <w:bCs w:val="0"/>
          <w:color w:val="000000"/>
          <w:sz w:val="32"/>
          <w:szCs w:val="32"/>
        </w:rPr>
        <w:t>组织开展或配合牵头部门开展相关重点行业领域经营单位主要负责人安全生产教育培训。2024年，重点</w:t>
      </w:r>
      <w:r>
        <w:rPr>
          <w:rFonts w:hint="eastAsia" w:ascii="仿宋_GB2312" w:hAnsi="仿宋_GB2312" w:eastAsia="仿宋_GB2312" w:cs="仿宋_GB2312"/>
          <w:b w:val="0"/>
          <w:bCs w:val="0"/>
          <w:color w:val="000000"/>
          <w:sz w:val="32"/>
          <w:szCs w:val="32"/>
          <w:lang w:eastAsia="zh-CN"/>
        </w:rPr>
        <w:t>围绕</w:t>
      </w:r>
      <w:r>
        <w:rPr>
          <w:rFonts w:hint="eastAsia" w:ascii="仿宋_GB2312" w:hAnsi="仿宋_GB2312" w:eastAsia="仿宋_GB2312" w:cs="仿宋_GB2312"/>
          <w:b w:val="0"/>
          <w:bCs w:val="0"/>
          <w:color w:val="000000"/>
          <w:sz w:val="32"/>
          <w:szCs w:val="32"/>
        </w:rPr>
        <w:t>液化石油气安全、消防安全和应急处置开展餐饮行业燃气安全培训；2025年，重点开展成品油流通、报废机动车回收拆解行业培训；2026年，配合开展展览行业培训、大型商业综合体消防安全责任人集中培训。</w:t>
      </w:r>
    </w:p>
    <w:p w14:paraId="2CFD3C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ascii="楷体_GB2312" w:eastAsia="楷体_GB2312"/>
          <w:b w:val="0"/>
          <w:bCs w:val="0"/>
          <w:color w:val="000000"/>
          <w:sz w:val="32"/>
          <w:szCs w:val="32"/>
        </w:rPr>
      </w:pPr>
      <w:r>
        <w:rPr>
          <w:rFonts w:hint="eastAsia" w:ascii="楷体_GB2312" w:eastAsia="楷体_GB2312"/>
          <w:b w:val="0"/>
          <w:bCs w:val="0"/>
          <w:color w:val="000000"/>
          <w:sz w:val="32"/>
          <w:szCs w:val="32"/>
        </w:rPr>
        <w:t>（七）加大安全生产宣传教育力度</w:t>
      </w:r>
    </w:p>
    <w:p w14:paraId="7646D59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b w:val="0"/>
          <w:bCs w:val="0"/>
          <w:color w:val="000000"/>
          <w:sz w:val="32"/>
          <w:szCs w:val="32"/>
        </w:rPr>
        <w:t>11.多种方式加强安全生产宣传引导。持续开展商务领域“安全生产月”、安全宣传“五进”等活动，把活动与解决当前安全发展中的难点问题相结合，与推动落实各方面安全生产责任相结合，达到以活动促工作、以活动保安全的目的。充分发挥各级各类媒体作用，采取多种形式，拓展社会面宣传渠道，指导相关行业协会和有关企业在商业街区等公共场所醒目位置，通过大屏幕滚动播放、张贴或悬挂安全标语、横幅、挂图等，扩大社会化宣传和应急科普覆盖面，引导企业提升安全生产意识。</w:t>
      </w:r>
    </w:p>
    <w:p w14:paraId="0E50F6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eastAsia="仿宋_GB2312"/>
          <w:b w:val="0"/>
          <w:bCs w:val="0"/>
          <w:color w:val="000000"/>
          <w:sz w:val="32"/>
          <w:szCs w:val="32"/>
        </w:rPr>
      </w:pPr>
      <w:r>
        <w:rPr>
          <w:rFonts w:hint="eastAsia" w:ascii="仿宋_GB2312" w:hAnsi="仿宋_GB2312" w:eastAsia="仿宋_GB2312" w:cs="仿宋_GB2312"/>
          <w:b w:val="0"/>
          <w:bCs w:val="0"/>
          <w:color w:val="000000"/>
          <w:sz w:val="32"/>
          <w:szCs w:val="32"/>
        </w:rPr>
        <w:t>12.持续开展风险提示和警示教育。利用短视频、公众号等媒体平台，针对重点行业重点领域，及时发布各类安全风险提示信息；扎实推动有关行业企业开展教育培训、应急演练等活动，提升全员安全生产技能；结合行业领域特点和典型事故案例，适时开展针对性警示教育，强化企业主要负责人安全生产“第一责任人”意识，推动企业安全生产主体责任落实落细。</w:t>
      </w:r>
    </w:p>
    <w:p w14:paraId="17A159D7">
      <w:pPr>
        <w:pStyle w:val="3"/>
        <w:keepNext w:val="0"/>
        <w:keepLines w:val="0"/>
        <w:pageBreakBefore w:val="0"/>
        <w:widowControl w:val="0"/>
        <w:tabs>
          <w:tab w:val="left" w:pos="0"/>
        </w:tabs>
        <w:kinsoku/>
        <w:wordWrap/>
        <w:overflowPunct/>
        <w:topLinePunct w:val="0"/>
        <w:autoSpaceDE/>
        <w:autoSpaceDN/>
        <w:bidi w:val="0"/>
        <w:adjustRightInd/>
        <w:snapToGrid/>
        <w:spacing w:before="0" w:beforeLines="0" w:after="0" w:afterLines="0" w:line="600" w:lineRule="exact"/>
        <w:ind w:firstLine="640" w:firstLineChars="200"/>
        <w:jc w:val="both"/>
        <w:textAlignment w:val="auto"/>
        <w:rPr>
          <w:rFonts w:hint="eastAsia" w:ascii="黑体" w:hAnsi="黑体" w:eastAsia="黑体" w:cs="黑体"/>
          <w:b w:val="0"/>
          <w:bCs w:val="0"/>
          <w:color w:val="auto"/>
          <w:sz w:val="32"/>
          <w:szCs w:val="32"/>
          <w:shd w:val="clear" w:color="auto" w:fill="auto"/>
          <w:lang w:val="en-US" w:eastAsia="zh-CN"/>
        </w:rPr>
      </w:pPr>
      <w:r>
        <w:rPr>
          <w:rFonts w:hint="eastAsia" w:ascii="黑体" w:hAnsi="黑体" w:eastAsia="黑体" w:cs="黑体"/>
          <w:b w:val="0"/>
          <w:bCs w:val="0"/>
          <w:color w:val="auto"/>
          <w:sz w:val="32"/>
          <w:szCs w:val="32"/>
          <w:shd w:val="clear" w:color="auto" w:fill="auto"/>
          <w:lang w:val="en-US" w:eastAsia="zh-CN"/>
        </w:rPr>
        <w:t>三、保障措施</w:t>
      </w:r>
    </w:p>
    <w:p w14:paraId="564BC764">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shd w:val="clear" w:color="auto" w:fill="FFFFFF"/>
          <w:lang w:val="en-US" w:eastAsia="zh-CN"/>
        </w:rPr>
      </w:pPr>
      <w:r>
        <w:rPr>
          <w:rFonts w:hint="eastAsia" w:ascii="楷体_GB2312" w:hAnsi="楷体_GB2312" w:eastAsia="楷体_GB2312" w:cs="楷体_GB2312"/>
          <w:b w:val="0"/>
          <w:bCs w:val="0"/>
          <w:color w:val="auto"/>
          <w:sz w:val="32"/>
          <w:szCs w:val="32"/>
          <w:shd w:val="clear" w:color="auto" w:fill="FFFFFF"/>
          <w:lang w:val="en-US" w:eastAsia="zh-CN"/>
        </w:rPr>
        <w:t>（一）加强组织领导。</w:t>
      </w:r>
      <w:r>
        <w:rPr>
          <w:rFonts w:hint="eastAsia" w:ascii="仿宋_GB2312" w:hAnsi="仿宋_GB2312" w:eastAsia="仿宋_GB2312" w:cs="仿宋_GB2312"/>
          <w:b w:val="0"/>
          <w:bCs w:val="0"/>
          <w:color w:val="auto"/>
          <w:sz w:val="32"/>
          <w:szCs w:val="32"/>
          <w:shd w:val="clear" w:color="auto" w:fill="FFFFFF"/>
          <w:lang w:val="en-US" w:eastAsia="zh-CN"/>
        </w:rPr>
        <w:t>各乡镇（街道）要高度重视商务系统安全生产治本攻坚三年行动，结合本地实际制定实施方案，明确治本攻坚年度目标、任务分工和保障措施。加大治本攻坚工作中成绩先进单位的通报表扬力度，强化正面典型引导。主要负责同志要亲自召开专题会议进行动员部署，定期调度安全生产治本攻坚三年行动进展情况，其他负责同志及时组织研究分管行业领域安全生产突出问题，并经常性开展督导检查。</w:t>
      </w:r>
    </w:p>
    <w:p w14:paraId="4D6C751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shd w:val="clear" w:color="auto" w:fill="FFFFFF"/>
          <w:lang w:val="en-US" w:eastAsia="zh-CN"/>
        </w:rPr>
      </w:pPr>
      <w:r>
        <w:rPr>
          <w:rFonts w:hint="eastAsia" w:ascii="楷体_GB2312" w:hAnsi="楷体_GB2312" w:eastAsia="楷体_GB2312" w:cs="楷体_GB2312"/>
          <w:b w:val="0"/>
          <w:bCs w:val="0"/>
          <w:color w:val="auto"/>
          <w:sz w:val="32"/>
          <w:szCs w:val="32"/>
          <w:shd w:val="clear" w:color="auto" w:fill="FFFFFF"/>
          <w:lang w:val="en-US" w:eastAsia="zh-CN"/>
        </w:rPr>
        <w:t>（二）强化指导督促。</w:t>
      </w:r>
      <w:r>
        <w:rPr>
          <w:rFonts w:hint="eastAsia" w:ascii="仿宋_GB2312" w:hAnsi="仿宋_GB2312" w:eastAsia="仿宋_GB2312" w:cs="仿宋_GB2312"/>
          <w:b w:val="0"/>
          <w:bCs w:val="0"/>
          <w:color w:val="auto"/>
          <w:sz w:val="32"/>
          <w:szCs w:val="32"/>
          <w:shd w:val="clear" w:color="auto" w:fill="FFFFFF"/>
          <w:lang w:val="en-US" w:eastAsia="zh-CN"/>
        </w:rPr>
        <w:t>各乡镇（街道）</w:t>
      </w:r>
      <w:r>
        <w:rPr>
          <w:rFonts w:hint="eastAsia" w:ascii="仿宋_GB2312" w:hAnsi="仿宋_GB2312" w:cs="仿宋_GB2312"/>
          <w:b w:val="0"/>
          <w:bCs w:val="0"/>
          <w:color w:val="auto"/>
          <w:sz w:val="32"/>
          <w:szCs w:val="32"/>
          <w:shd w:val="clear" w:color="auto" w:fill="FFFFFF"/>
          <w:lang w:val="en-US" w:eastAsia="zh-CN"/>
        </w:rPr>
        <w:t>要</w:t>
      </w:r>
      <w:r>
        <w:rPr>
          <w:rFonts w:hint="eastAsia" w:ascii="仿宋_GB2312" w:hAnsi="仿宋_GB2312" w:eastAsia="仿宋_GB2312" w:cs="仿宋_GB2312"/>
          <w:b w:val="0"/>
          <w:bCs w:val="0"/>
          <w:color w:val="auto"/>
          <w:sz w:val="32"/>
          <w:szCs w:val="32"/>
          <w:shd w:val="clear" w:color="auto" w:fill="FFFFFF"/>
          <w:lang w:val="en-US" w:eastAsia="zh-CN"/>
        </w:rPr>
        <w:t>进一步加强商贸行业安全生产管理</w:t>
      </w:r>
      <w:r>
        <w:rPr>
          <w:rFonts w:hint="eastAsia" w:ascii="仿宋_GB2312" w:hAnsi="仿宋_GB2312" w:cs="仿宋_GB2312"/>
          <w:b w:val="0"/>
          <w:bCs w:val="0"/>
          <w:color w:val="auto"/>
          <w:sz w:val="32"/>
          <w:szCs w:val="32"/>
          <w:shd w:val="clear" w:color="auto" w:fill="FFFFFF"/>
          <w:lang w:val="en-US" w:eastAsia="zh-CN"/>
        </w:rPr>
        <w:t>，</w:t>
      </w:r>
      <w:r>
        <w:rPr>
          <w:rFonts w:hint="eastAsia" w:ascii="仿宋_GB2312" w:hAnsi="仿宋_GB2312" w:eastAsia="仿宋_GB2312" w:cs="仿宋_GB2312"/>
          <w:b w:val="0"/>
          <w:bCs w:val="0"/>
          <w:color w:val="auto"/>
          <w:sz w:val="32"/>
          <w:szCs w:val="32"/>
          <w:shd w:val="clear" w:color="auto" w:fill="FFFFFF"/>
          <w:lang w:val="en-US" w:eastAsia="zh-CN"/>
        </w:rPr>
        <w:t>完善督促指导机制，创新督促指导方式，</w:t>
      </w:r>
      <w:r>
        <w:rPr>
          <w:rFonts w:hint="eastAsia" w:ascii="仿宋_GB2312" w:hAnsi="仿宋_GB2312" w:eastAsia="仿宋_GB2312" w:cs="仿宋_GB2312"/>
          <w:b w:val="0"/>
          <w:bCs w:val="0"/>
          <w:color w:val="auto"/>
          <w:sz w:val="32"/>
          <w:szCs w:val="32"/>
          <w:shd w:val="clear" w:color="auto" w:fill="FFFFFF"/>
          <w:lang w:eastAsia="zh-CN"/>
        </w:rPr>
        <w:t>推动安全生产要求和日常业务工作相结合，利用座谈交流、会议调研、工作提醒等多种形式加强对商贸企业安全生产工作的指导</w:t>
      </w:r>
      <w:r>
        <w:rPr>
          <w:rFonts w:hint="eastAsia" w:ascii="仿宋_GB2312" w:hAnsi="仿宋_GB2312" w:eastAsia="仿宋_GB2312" w:cs="仿宋_GB2312"/>
          <w:b w:val="0"/>
          <w:bCs w:val="0"/>
          <w:color w:val="auto"/>
          <w:sz w:val="32"/>
          <w:szCs w:val="32"/>
          <w:shd w:val="clear" w:color="auto" w:fill="FFFFFF"/>
          <w:lang w:val="en-US" w:eastAsia="zh-CN"/>
        </w:rPr>
        <w:t>。市商务局至少每半年对各地工作开展情况进行1次督导，及时发现和协调解决工作中堵点难点问题。</w:t>
      </w:r>
    </w:p>
    <w:p w14:paraId="46DE78E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600" w:lineRule="exact"/>
        <w:ind w:left="0" w:leftChars="0" w:firstLine="640" w:firstLineChars="200"/>
        <w:jc w:val="both"/>
        <w:textAlignment w:val="auto"/>
        <w:outlineLvl w:val="9"/>
        <w:rPr>
          <w:rFonts w:hint="eastAsia" w:ascii="仿宋_GB2312" w:hAnsi="仿宋_GB2312" w:eastAsia="仿宋_GB2312" w:cs="仿宋_GB2312"/>
          <w:b w:val="0"/>
          <w:bCs w:val="0"/>
          <w:color w:val="auto"/>
          <w:sz w:val="32"/>
          <w:szCs w:val="32"/>
          <w:highlight w:val="none"/>
          <w:u w:val="none"/>
          <w:shd w:val="clear" w:color="auto" w:fill="FFFFFF"/>
          <w:lang w:val="en-US" w:eastAsia="zh-CN"/>
        </w:rPr>
      </w:pPr>
      <w:r>
        <w:rPr>
          <w:rFonts w:hint="eastAsia" w:ascii="楷体_GB2312" w:hAnsi="楷体_GB2312" w:eastAsia="楷体_GB2312" w:cs="楷体_GB2312"/>
          <w:b w:val="0"/>
          <w:bCs w:val="0"/>
          <w:color w:val="auto"/>
          <w:sz w:val="32"/>
          <w:szCs w:val="32"/>
          <w:shd w:val="clear" w:color="auto" w:fill="FFFFFF"/>
          <w:lang w:val="en-US" w:eastAsia="zh-CN"/>
        </w:rPr>
        <w:t>（三）加强部门协同。</w:t>
      </w:r>
      <w:r>
        <w:rPr>
          <w:rFonts w:hint="eastAsia" w:ascii="仿宋_GB2312" w:hAnsi="仿宋_GB2312" w:eastAsia="仿宋_GB2312" w:cs="仿宋_GB2312"/>
          <w:b w:val="0"/>
          <w:bCs w:val="0"/>
          <w:color w:val="auto"/>
          <w:sz w:val="32"/>
          <w:szCs w:val="32"/>
          <w:shd w:val="clear" w:color="auto" w:fill="FFFFFF"/>
          <w:lang w:val="en-US" w:eastAsia="zh-CN"/>
        </w:rPr>
        <w:t>各乡镇（街道）</w:t>
      </w:r>
      <w:r>
        <w:rPr>
          <w:rFonts w:hint="eastAsia" w:ascii="仿宋_GB2312" w:hAnsi="仿宋_GB2312" w:eastAsia="仿宋_GB2312" w:cs="仿宋_GB2312"/>
          <w:b w:val="0"/>
          <w:bCs w:val="0"/>
          <w:color w:val="auto"/>
          <w:sz w:val="32"/>
          <w:szCs w:val="32"/>
          <w:highlight w:val="none"/>
          <w:u w:val="none"/>
          <w:shd w:val="clear" w:color="auto" w:fill="FFFFFF"/>
          <w:lang w:val="en-US" w:eastAsia="zh-CN"/>
        </w:rPr>
        <w:t>要主动与相关监管和执法部门加强信息交流、共享，协同开展商务领域安全生产管理工作。在积极配合开展风险隐患排查整治工作的同时，加强监管执法结果运用，对监管和执法部门处罚的发生较大安全生产事故或拒绝整改造成严重不良影响的企业，</w:t>
      </w:r>
      <w:r>
        <w:rPr>
          <w:rFonts w:hint="eastAsia" w:ascii="仿宋_GB2312" w:hAnsi="仿宋_GB2312" w:cs="仿宋_GB2312"/>
          <w:b w:val="0"/>
          <w:bCs w:val="0"/>
          <w:color w:val="auto"/>
          <w:sz w:val="32"/>
          <w:szCs w:val="32"/>
          <w:highlight w:val="none"/>
          <w:u w:val="none"/>
          <w:shd w:val="clear" w:color="auto" w:fill="FFFFFF"/>
          <w:lang w:val="en-US" w:eastAsia="zh-CN"/>
        </w:rPr>
        <w:t>要</w:t>
      </w:r>
      <w:r>
        <w:rPr>
          <w:rFonts w:hint="eastAsia" w:ascii="仿宋_GB2312" w:hAnsi="仿宋_GB2312" w:eastAsia="仿宋_GB2312" w:cs="仿宋_GB2312"/>
          <w:b w:val="0"/>
          <w:bCs w:val="0"/>
          <w:color w:val="auto"/>
          <w:sz w:val="32"/>
          <w:szCs w:val="32"/>
          <w:highlight w:val="none"/>
          <w:u w:val="none"/>
          <w:shd w:val="clear" w:color="auto" w:fill="FFFFFF"/>
          <w:lang w:val="en-US" w:eastAsia="zh-CN"/>
        </w:rPr>
        <w:t>探索建立黑名单制度，不再给予各类商务领域示范、引导性政策支持。</w:t>
      </w:r>
    </w:p>
    <w:p w14:paraId="402047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lang w:val="en-US" w:eastAsia="en-US"/>
        </w:rPr>
        <w:sectPr>
          <w:headerReference r:id="rId3" w:type="default"/>
          <w:footerReference r:id="rId4" w:type="default"/>
          <w:pgSz w:w="11906" w:h="16838"/>
          <w:pgMar w:top="1440" w:right="1800" w:bottom="1440" w:left="1800" w:header="851" w:footer="992" w:gutter="0"/>
          <w:cols w:space="425" w:num="1"/>
          <w:docGrid w:type="lines" w:linePitch="312" w:charSpace="0"/>
        </w:sectPr>
      </w:pPr>
      <w:r>
        <w:rPr>
          <w:rFonts w:hint="eastAsia" w:ascii="楷体_GB2312" w:hAnsi="楷体_GB2312" w:eastAsia="楷体_GB2312" w:cs="楷体_GB2312"/>
          <w:b w:val="0"/>
          <w:bCs w:val="0"/>
          <w:color w:val="auto"/>
          <w:sz w:val="32"/>
          <w:szCs w:val="32"/>
          <w:shd w:val="clear" w:color="auto" w:fill="FFFFFF"/>
          <w:lang w:val="en-US" w:eastAsia="zh-CN"/>
        </w:rPr>
        <w:t>（四）强化</w:t>
      </w:r>
      <w:r>
        <w:rPr>
          <w:rFonts w:hint="eastAsia" w:ascii="楷体_GB2312" w:hAnsi="楷体_GB2312" w:eastAsia="楷体_GB2312" w:cs="楷体_GB2312"/>
          <w:b w:val="0"/>
          <w:bCs w:val="0"/>
          <w:color w:val="auto"/>
          <w:kern w:val="2"/>
          <w:sz w:val="32"/>
          <w:szCs w:val="32"/>
          <w:u w:val="none" w:color="000000"/>
          <w:shd w:val="clear" w:color="auto" w:fill="FFFFFF"/>
          <w:lang w:val="en-US" w:eastAsia="zh-CN"/>
        </w:rPr>
        <w:t>科技支撑。</w:t>
      </w:r>
      <w:r>
        <w:rPr>
          <w:rFonts w:hint="eastAsia" w:ascii="仿宋_GB2312" w:hAnsi="仿宋_GB2312" w:eastAsia="仿宋_GB2312" w:cs="仿宋_GB2312"/>
          <w:b w:val="0"/>
          <w:bCs w:val="0"/>
          <w:color w:val="auto"/>
          <w:sz w:val="32"/>
          <w:szCs w:val="32"/>
          <w:shd w:val="clear" w:color="auto" w:fill="FFFFFF"/>
          <w:lang w:val="en-US" w:eastAsia="zh-CN"/>
        </w:rPr>
        <w:t>各乡镇（街道）</w:t>
      </w:r>
      <w:r>
        <w:rPr>
          <w:rFonts w:hint="eastAsia" w:ascii="仿宋_GB2312" w:hAnsi="仿宋_GB2312" w:eastAsia="仿宋_GB2312" w:cs="仿宋_GB2312"/>
          <w:b w:val="0"/>
          <w:bCs w:val="0"/>
          <w:color w:val="auto"/>
          <w:sz w:val="32"/>
          <w:szCs w:val="32"/>
          <w:highlight w:val="none"/>
          <w:u w:val="none"/>
          <w:shd w:val="clear" w:color="auto" w:fill="FFFFFF"/>
          <w:lang w:val="en-US" w:eastAsia="zh-CN"/>
        </w:rPr>
        <w:t>要积极推动相关部门加快</w:t>
      </w:r>
      <w:r>
        <w:rPr>
          <w:rFonts w:hint="eastAsia" w:ascii="仿宋_GB2312" w:hAnsi="仿宋_GB2312" w:eastAsia="仿宋_GB2312" w:cs="仿宋_GB2312"/>
          <w:b w:val="0"/>
          <w:bCs w:val="0"/>
          <w:color w:val="auto"/>
          <w:kern w:val="2"/>
          <w:sz w:val="32"/>
          <w:szCs w:val="32"/>
          <w:highlight w:val="none"/>
          <w:u w:val="none"/>
          <w:shd w:val="clear" w:color="auto" w:fill="FFFFFF"/>
          <w:lang w:val="en-US" w:eastAsia="zh-CN"/>
        </w:rPr>
        <w:t>推进安全生产管理模式向事前预防数字化转型，结合人工智能、大数据、物联网等技术，持续加大商贸企业行业领域安全风险监测预警系统建设应用和升级改造力度。</w:t>
      </w:r>
    </w:p>
    <w:p w14:paraId="17B535BE"/>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创艺简老宋">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75508369"/>
      <w:docPartObj>
        <w:docPartGallery w:val="autotext"/>
      </w:docPartObj>
    </w:sdtPr>
    <w:sdtContent>
      <w:p w14:paraId="07B35B27">
        <w:pPr>
          <w:pStyle w:val="5"/>
          <w:jc w:val="center"/>
        </w:pPr>
        <w:r>
          <w:fldChar w:fldCharType="begin"/>
        </w:r>
        <w:r>
          <w:instrText xml:space="preserve"> PAGE   \* MERGEFORMAT </w:instrText>
        </w:r>
        <w:r>
          <w:fldChar w:fldCharType="separate"/>
        </w:r>
        <w:r>
          <w:rPr>
            <w:lang w:val="zh-CN"/>
          </w:rPr>
          <w:t>1</w:t>
        </w:r>
        <w:r>
          <w:rPr>
            <w:lang w:val="zh-CN"/>
          </w:rPr>
          <w:fldChar w:fldCharType="end"/>
        </w:r>
      </w:p>
    </w:sdtContent>
  </w:sdt>
  <w:p w14:paraId="7684CF87">
    <w:pPr>
      <w:pStyle w:val="5"/>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897BF9">
    <w:pPr>
      <w:pStyle w:val="6"/>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zMDM4YzQxMGExNDU2MTYyYWRhZTBkMjBkY2I2ODEifQ=="/>
  </w:docVars>
  <w:rsids>
    <w:rsidRoot w:val="002E596B"/>
    <w:rsid w:val="00016C24"/>
    <w:rsid w:val="00022A3F"/>
    <w:rsid w:val="00035B55"/>
    <w:rsid w:val="000B0A79"/>
    <w:rsid w:val="00100243"/>
    <w:rsid w:val="001C340B"/>
    <w:rsid w:val="002E596B"/>
    <w:rsid w:val="00322E0B"/>
    <w:rsid w:val="003242D7"/>
    <w:rsid w:val="003B0162"/>
    <w:rsid w:val="003E57FA"/>
    <w:rsid w:val="004278D2"/>
    <w:rsid w:val="00436EDF"/>
    <w:rsid w:val="00491142"/>
    <w:rsid w:val="00600E50"/>
    <w:rsid w:val="00631A54"/>
    <w:rsid w:val="006579D1"/>
    <w:rsid w:val="00696795"/>
    <w:rsid w:val="006A20C9"/>
    <w:rsid w:val="006A6BAD"/>
    <w:rsid w:val="006E1740"/>
    <w:rsid w:val="006F44F9"/>
    <w:rsid w:val="0074132C"/>
    <w:rsid w:val="007A4B83"/>
    <w:rsid w:val="007E0BA5"/>
    <w:rsid w:val="00925D9C"/>
    <w:rsid w:val="009B3CD0"/>
    <w:rsid w:val="00A34175"/>
    <w:rsid w:val="00B26428"/>
    <w:rsid w:val="00B52EAE"/>
    <w:rsid w:val="00BF0C50"/>
    <w:rsid w:val="00C1128B"/>
    <w:rsid w:val="00C15876"/>
    <w:rsid w:val="00CF5349"/>
    <w:rsid w:val="00D0009B"/>
    <w:rsid w:val="00D1622C"/>
    <w:rsid w:val="00D307CB"/>
    <w:rsid w:val="00D60463"/>
    <w:rsid w:val="00E03EC5"/>
    <w:rsid w:val="00E1248E"/>
    <w:rsid w:val="00E80C4E"/>
    <w:rsid w:val="00EA10D5"/>
    <w:rsid w:val="00EC5A16"/>
    <w:rsid w:val="00F14BA8"/>
    <w:rsid w:val="081952B3"/>
    <w:rsid w:val="3CEF6007"/>
    <w:rsid w:val="3E8B6337"/>
    <w:rsid w:val="3FBA6B60"/>
    <w:rsid w:val="47FD3A7B"/>
    <w:rsid w:val="49401C84"/>
    <w:rsid w:val="51566BB2"/>
    <w:rsid w:val="564E4497"/>
    <w:rsid w:val="58057EF1"/>
    <w:rsid w:val="5D244BE9"/>
    <w:rsid w:val="6A05242C"/>
    <w:rsid w:val="73B03D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
    <w:pPr>
      <w:keepNext/>
      <w:keepLines/>
      <w:spacing w:before="260" w:beforeLines="0" w:after="260" w:afterLines="0" w:line="416" w:lineRule="auto"/>
      <w:outlineLvl w:val="1"/>
    </w:pPr>
    <w:rPr>
      <w:rFonts w:ascii="Cambria" w:hAnsi="Cambria" w:eastAsia="宋体" w:cs="黑体"/>
      <w:b/>
      <w:bCs/>
      <w:sz w:val="32"/>
      <w:szCs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napToGrid w:val="0"/>
    </w:pPr>
  </w:style>
  <w:style w:type="paragraph" w:styleId="4">
    <w:name w:val="table of authorities"/>
    <w:next w:val="1"/>
    <w:qFormat/>
    <w:uiPriority w:val="0"/>
    <w:pPr>
      <w:widowControl w:val="0"/>
      <w:spacing w:before="100" w:beforeAutospacing="1" w:after="100" w:afterAutospacing="1"/>
      <w:ind w:left="420" w:leftChars="200" w:firstLine="630" w:firstLineChars="200"/>
      <w:jc w:val="both"/>
    </w:pPr>
    <w:rPr>
      <w:rFonts w:ascii="Calibri" w:hAnsi="Calibri" w:eastAsia="宋体" w:cs="Times New Roman"/>
      <w:kern w:val="2"/>
      <w:sz w:val="30"/>
      <w:szCs w:val="32"/>
      <w:lang w:val="en-US" w:eastAsia="zh-CN" w:bidi="ar-SA"/>
    </w:rPr>
  </w:style>
  <w:style w:type="paragraph" w:styleId="5">
    <w:name w:val="footer"/>
    <w:basedOn w:val="1"/>
    <w:link w:val="10"/>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9"/>
    <w:autoRedefine/>
    <w:semiHidden/>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9">
    <w:name w:val="页眉 Char"/>
    <w:basedOn w:val="8"/>
    <w:link w:val="6"/>
    <w:autoRedefine/>
    <w:semiHidden/>
    <w:qFormat/>
    <w:uiPriority w:val="99"/>
    <w:rPr>
      <w:sz w:val="18"/>
      <w:szCs w:val="18"/>
    </w:rPr>
  </w:style>
  <w:style w:type="character" w:customStyle="1" w:styleId="10">
    <w:name w:val="页脚 Char"/>
    <w:basedOn w:val="8"/>
    <w:link w:val="5"/>
    <w:autoRedefine/>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3343</Words>
  <Characters>3430</Characters>
  <Lines>26</Lines>
  <Paragraphs>7</Paragraphs>
  <TotalTime>4</TotalTime>
  <ScaleCrop>false</ScaleCrop>
  <LinksUpToDate>false</LinksUpToDate>
  <CharactersWithSpaces>3459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2020-01-10T08:12:00Z</dcterms:created>
  <dc:creator>PC</dc:creator>
  <cp:lastModifiedBy>迢迢相思意</cp:lastModifiedBy>
  <cp:lastPrinted>2024-05-21T02:51:00Z</cp:lastPrinted>
  <dcterms:modified xsi:type="dcterms:W3CDTF">2026-08-27T02:44:24Z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61703D634E93438F9A53A2D3BE0F32E0_13</vt:lpwstr>
  </property>
  <property fmtid="{D5CDD505-2E9C-101B-9397-08002B2CF9AE}" pid="4" name="KSOTemplateDocerSaveRecord">
    <vt:lpwstr>eyJoZGlkIjoiNTZjZjNhYWE0MWUxNDFjZDQwY2ZlNzJkOGYwYWVlNWEiLCJ1c2VySWQiOiI2MTgzNTg2OTcifQ==</vt:lpwstr>
  </property>
</Properties>
</file>