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BE4" w:rsidRDefault="008F446B">
      <w:pPr>
        <w:widowControl/>
        <w:textAlignment w:val="center"/>
        <w:rPr>
          <w:rFonts w:ascii="黑体" w:eastAsia="黑体" w:hAnsi="黑体" w:cs="黑体"/>
          <w:color w:val="000000"/>
          <w:kern w:val="0"/>
          <w:sz w:val="32"/>
          <w:szCs w:val="32"/>
          <w:lang/>
        </w:rPr>
      </w:pPr>
      <w:r>
        <w:rPr>
          <w:rFonts w:ascii="黑体" w:eastAsia="黑体" w:hAnsi="黑体" w:cs="黑体" w:hint="eastAsia"/>
          <w:color w:val="000000"/>
          <w:kern w:val="0"/>
          <w:sz w:val="32"/>
          <w:szCs w:val="32"/>
          <w:lang/>
        </w:rPr>
        <w:t>附件</w:t>
      </w:r>
      <w:r>
        <w:rPr>
          <w:rFonts w:ascii="黑体" w:eastAsia="黑体" w:hAnsi="黑体" w:cs="黑体" w:hint="eastAsia"/>
          <w:color w:val="000000"/>
          <w:kern w:val="0"/>
          <w:sz w:val="32"/>
          <w:szCs w:val="32"/>
          <w:lang/>
        </w:rPr>
        <w:t>1</w:t>
      </w:r>
    </w:p>
    <w:p w:rsidR="00EC1BE4" w:rsidRDefault="00EC1BE4">
      <w:pPr>
        <w:pStyle w:val="a0"/>
      </w:pPr>
    </w:p>
    <w:tbl>
      <w:tblPr>
        <w:tblW w:w="15063" w:type="dxa"/>
        <w:tblInd w:w="-363" w:type="dxa"/>
        <w:tblLayout w:type="fixed"/>
        <w:tblLook w:val="04A0"/>
      </w:tblPr>
      <w:tblGrid>
        <w:gridCol w:w="191"/>
        <w:gridCol w:w="504"/>
        <w:gridCol w:w="1714"/>
        <w:gridCol w:w="1018"/>
        <w:gridCol w:w="5475"/>
        <w:gridCol w:w="2646"/>
        <w:gridCol w:w="3043"/>
        <w:gridCol w:w="472"/>
      </w:tblGrid>
      <w:tr w:rsidR="00EC1BE4">
        <w:trPr>
          <w:trHeight w:val="780"/>
        </w:trPr>
        <w:tc>
          <w:tcPr>
            <w:tcW w:w="15063" w:type="dxa"/>
            <w:gridSpan w:val="8"/>
            <w:tcBorders>
              <w:top w:val="nil"/>
              <w:left w:val="nil"/>
              <w:bottom w:val="nil"/>
              <w:right w:val="nil"/>
            </w:tcBorders>
            <w:shd w:val="clear" w:color="auto" w:fill="auto"/>
            <w:vAlign w:val="center"/>
          </w:tcPr>
          <w:p w:rsidR="00EC1BE4" w:rsidRDefault="008F446B">
            <w:pPr>
              <w:widowControl/>
              <w:jc w:val="center"/>
              <w:textAlignment w:val="center"/>
              <w:rPr>
                <w:rFonts w:ascii="仿宋_GB2312" w:eastAsia="仿宋_GB2312" w:hAnsi="宋体" w:cs="仿宋_GB2312"/>
                <w:b/>
                <w:bCs/>
                <w:color w:val="000000"/>
                <w:sz w:val="16"/>
                <w:szCs w:val="16"/>
              </w:rPr>
            </w:pPr>
            <w:r>
              <w:rPr>
                <w:rFonts w:ascii="文鼎小标宋简" w:eastAsia="文鼎小标宋简" w:hAnsi="文鼎小标宋简" w:cs="文鼎小标宋简" w:hint="eastAsia"/>
                <w:color w:val="000000"/>
                <w:kern w:val="0"/>
                <w:sz w:val="44"/>
                <w:szCs w:val="44"/>
                <w:lang/>
              </w:rPr>
              <w:t>市直部门权责清单调整目录</w:t>
            </w:r>
          </w:p>
        </w:tc>
      </w:tr>
      <w:tr w:rsidR="00EC1BE4">
        <w:trPr>
          <w:gridBefore w:val="1"/>
          <w:wBefore w:w="191" w:type="dxa"/>
          <w:trHeight w:val="70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序号</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实施部门</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职权类型</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职权名称</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子项名称</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变更情形</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黑体" w:eastAsia="黑体" w:hAnsi="黑体" w:cs="黑体"/>
                <w:color w:val="000000"/>
                <w:kern w:val="0"/>
                <w:sz w:val="20"/>
                <w:szCs w:val="20"/>
                <w:lang/>
              </w:rPr>
            </w:pPr>
            <w:r>
              <w:rPr>
                <w:rFonts w:ascii="黑体" w:eastAsia="黑体" w:hAnsi="黑体" w:cs="黑体" w:hint="eastAsia"/>
                <w:color w:val="000000"/>
                <w:kern w:val="0"/>
                <w:sz w:val="20"/>
                <w:szCs w:val="20"/>
                <w:lang/>
              </w:rPr>
              <w:t>备注</w:t>
            </w:r>
          </w:p>
        </w:tc>
      </w:tr>
      <w:tr w:rsidR="00EC1BE4">
        <w:trPr>
          <w:gridBefore w:val="1"/>
          <w:wBefore w:w="191" w:type="dxa"/>
          <w:trHeight w:val="412"/>
        </w:trPr>
        <w:tc>
          <w:tcPr>
            <w:tcW w:w="1487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left"/>
              <w:textAlignment w:val="center"/>
              <w:rPr>
                <w:rFonts w:ascii="宋体" w:hAnsi="宋体" w:cs="宋体"/>
                <w:b/>
                <w:bCs/>
                <w:color w:val="000000"/>
                <w:kern w:val="0"/>
                <w:sz w:val="20"/>
                <w:szCs w:val="20"/>
                <w:lang/>
              </w:rPr>
            </w:pPr>
            <w:r>
              <w:rPr>
                <w:rFonts w:ascii="宋体" w:hAnsi="宋体" w:cs="宋体" w:hint="eastAsia"/>
                <w:b/>
                <w:bCs/>
                <w:color w:val="000000"/>
                <w:kern w:val="0"/>
                <w:sz w:val="20"/>
                <w:szCs w:val="20"/>
                <w:lang/>
              </w:rPr>
              <w:t>一、取消（共计</w:t>
            </w:r>
            <w:r>
              <w:rPr>
                <w:rFonts w:ascii="宋体" w:hAnsi="宋体" w:cs="宋体" w:hint="eastAsia"/>
                <w:b/>
                <w:bCs/>
                <w:color w:val="000000"/>
                <w:kern w:val="0"/>
                <w:sz w:val="20"/>
                <w:szCs w:val="20"/>
                <w:lang/>
              </w:rPr>
              <w:t>1</w:t>
            </w:r>
            <w:r>
              <w:rPr>
                <w:rFonts w:ascii="宋体" w:hAnsi="宋体" w:cs="宋体" w:hint="eastAsia"/>
                <w:b/>
                <w:bCs/>
                <w:color w:val="000000"/>
                <w:kern w:val="0"/>
                <w:sz w:val="20"/>
                <w:szCs w:val="20"/>
                <w:lang/>
              </w:rPr>
              <w:t>5</w:t>
            </w:r>
            <w:r>
              <w:rPr>
                <w:rFonts w:ascii="宋体" w:hAnsi="宋体" w:cs="宋体" w:hint="eastAsia"/>
                <w:b/>
                <w:bCs/>
                <w:color w:val="000000"/>
                <w:kern w:val="0"/>
                <w:sz w:val="20"/>
                <w:szCs w:val="20"/>
                <w:lang/>
              </w:rPr>
              <w:t>项）</w:t>
            </w:r>
          </w:p>
        </w:tc>
      </w:tr>
      <w:tr w:rsidR="00EC1BE4">
        <w:trPr>
          <w:gridBefore w:val="1"/>
          <w:wBefore w:w="191" w:type="dxa"/>
          <w:trHeight w:val="608"/>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对小型客船运输者违法行为处罚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777"/>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道路运输经营许可及道路运输站（场）、机动车维修、机动车驾驶员培训、汽车租赁、道路运输服务等道路运输相关业务经营许可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道路运输服务业经营许可</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上级政府决定取消调整行政权力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70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道路运输经营许可及道路运输站（场）、机动车维修、机动车驾驶员培训、汽车租赁、道路运输服务等道路运输相关业务经营许可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核发道路运输车辆道路运输证</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上级政府决定取消调整行政权力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731"/>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道路运输经营许可及道路运输站（场）、机动车维修、机动车驾驶员培训、汽车租赁、道路运输服务等道路运输相关业务经营许可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道路旅客运输客运站经营许可</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上级政府决定取消调整行政权力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57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对于接受非法转让、出租机动车维修经营许可证件行为的处罚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60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对道路货物运输经营者、货运站经营者已不具备开业要求的有关安全条件、存在重大运输安全隐患行为的处罚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103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对国际道路运输经营者的运输车辆不按照规定标明《国际道路运输国籍识别标志》、携带《国际汽车运输行车许可证》或者《国际汽车运输特别行车许可证》行为的处罚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113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lastRenderedPageBreak/>
              <w:t>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对外国国际道路运输经营者未取得我国有效的《国际汽车运输行车许可证》或者《国际汽车运输特别行车许可证》，擅自进入我国境内从事国际道路运输经营或者运输危险货物等行为的处罚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561"/>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对客运经营者、货运经营者不按照规定携带车辆营运证行为的处罚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highlight w:val="yellow"/>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highlight w:val="yellow"/>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highlight w:val="yellow"/>
                <w:lang/>
              </w:rPr>
            </w:pPr>
          </w:p>
        </w:tc>
      </w:tr>
      <w:tr w:rsidR="00EC1BE4">
        <w:trPr>
          <w:gridBefore w:val="1"/>
          <w:wBefore w:w="191" w:type="dxa"/>
          <w:trHeight w:val="501"/>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对接受非法转让、出租机动车驾驶员培训许可证件行为的处罚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869"/>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对使用无效、伪造、变造、被注销的机动车驾驶员培训许可证件，非法从事机动车驾驶员培训业务的行为的处罚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441"/>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庄河市水务局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行政征收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水资源费征收</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行政权力设定依据失效、废止或更改</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594"/>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庄河市住房城乡建设局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其他行政权力</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建设工程委托监理合同备案</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color w:val="000000"/>
                <w:kern w:val="0"/>
                <w:sz w:val="18"/>
                <w:szCs w:val="18"/>
                <w:lang/>
              </w:rPr>
              <w:t>上级政府决定取消调整行政权力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711"/>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庄河市住房城乡建设局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其他行政权力</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建设工程勘察合同、设计合同备案</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上级政府决定取消调整行政权力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15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庄河市住房城乡建设局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其他行政权力</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建设工程施工合同备案</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上级政府决定取消调整行政权力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widowControl/>
              <w:jc w:val="center"/>
              <w:textAlignment w:val="center"/>
              <w:rPr>
                <w:rFonts w:ascii="仿宋_GB2312" w:eastAsia="仿宋_GB2312" w:hAnsi="仿宋_GB2312" w:cs="仿宋_GB2312"/>
                <w:color w:val="000000"/>
                <w:kern w:val="0"/>
                <w:sz w:val="18"/>
                <w:szCs w:val="18"/>
                <w:lang/>
              </w:rPr>
            </w:pPr>
          </w:p>
        </w:tc>
      </w:tr>
      <w:tr w:rsidR="00EC1BE4">
        <w:trPr>
          <w:gridBefore w:val="1"/>
          <w:wBefore w:w="191" w:type="dxa"/>
          <w:trHeight w:val="415"/>
        </w:trPr>
        <w:tc>
          <w:tcPr>
            <w:tcW w:w="1487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textAlignment w:val="center"/>
              <w:rPr>
                <w:rFonts w:ascii="仿宋_GB2312" w:eastAsia="仿宋_GB2312" w:hAnsi="仿宋_GB2312" w:cs="仿宋_GB2312"/>
                <w:color w:val="000000"/>
                <w:kern w:val="0"/>
                <w:sz w:val="18"/>
                <w:szCs w:val="18"/>
                <w:lang/>
              </w:rPr>
            </w:pPr>
            <w:r>
              <w:rPr>
                <w:rFonts w:ascii="宋体" w:hAnsi="宋体" w:cs="宋体" w:hint="eastAsia"/>
                <w:b/>
                <w:bCs/>
                <w:color w:val="000000"/>
                <w:kern w:val="0"/>
                <w:sz w:val="20"/>
                <w:szCs w:val="20"/>
                <w:lang/>
              </w:rPr>
              <w:t>二、增加（共计</w:t>
            </w:r>
            <w:r>
              <w:rPr>
                <w:rFonts w:ascii="宋体" w:hAnsi="宋体" w:cs="宋体" w:hint="eastAsia"/>
                <w:b/>
                <w:bCs/>
                <w:color w:val="000000"/>
                <w:kern w:val="0"/>
                <w:sz w:val="20"/>
                <w:szCs w:val="20"/>
                <w:lang/>
              </w:rPr>
              <w:t>98</w:t>
            </w:r>
            <w:r>
              <w:rPr>
                <w:rFonts w:ascii="宋体" w:hAnsi="宋体" w:cs="宋体" w:hint="eastAsia"/>
                <w:b/>
                <w:bCs/>
                <w:color w:val="000000"/>
                <w:kern w:val="0"/>
                <w:sz w:val="20"/>
                <w:szCs w:val="20"/>
                <w:lang/>
              </w:rPr>
              <w:t>项）</w:t>
            </w:r>
          </w:p>
        </w:tc>
      </w:tr>
      <w:tr w:rsidR="00EC1BE4">
        <w:trPr>
          <w:gridBefore w:val="1"/>
          <w:wBefore w:w="191" w:type="dxa"/>
          <w:trHeight w:val="50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序号</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实施部门</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职权类型</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职权名称</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子项名称</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变更情形</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黑体" w:eastAsia="黑体" w:hAnsi="黑体" w:cs="黑体" w:hint="eastAsia"/>
                <w:color w:val="000000"/>
                <w:kern w:val="0"/>
                <w:sz w:val="20"/>
                <w:szCs w:val="20"/>
                <w:lang/>
              </w:rPr>
              <w:t>备注</w:t>
            </w: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对违反《粮食流通管理条例》有关行为的处罚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对未按照规定备案或者提供虚假备案信息行为的处罚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对违反《粮食流通管理条例》有关行为的处罚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对粮食收购者、粮食储存企业有关违法违规行为的处罚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对违反《粮食流通管理条例》有关行为的处罚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对未按规定使用仓储设施、运输工具行为的处罚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对违反《粮食流通管理条例》有关行为的处罚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对粮食销售出库有关违法行为的处罚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对粮食经营活动检查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其他行政权力</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县级储备粮承储资格认定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庄河市发展和改革局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对违反《粮食流通管理条例》有关行为的处罚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对从事政策性粮食经营活动有关违法行为的处罚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港口经营许可（理货除外）</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港口内进行危险货物的装卸、过驳作业许可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车辆道路运输证核发</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出租汽车道路运输证核发</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车辆道路运输证核发</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道路普通货运车辆道路运输证核发</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车辆道路运输证核发</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道路客运班线车辆道路运输证核发</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对取得港口经营许可、备案后不符合经营条件的处罚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对未经许可、备案从事港口经营业务的处罚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对港口经营人不优先安排抢险、救灾、国家建设急需物资的处罚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16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对港口航道建设管理违法行为的处罚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港口监督检查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港口设施维护管理监督检查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19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港口安全生产监督检查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在公路增设或改造平面交叉道口审批</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跨越、穿越公路及在公路用地范围内架设、埋设管线、电缆等设施，或者利用公路桥梁、公路隧道、涵洞铺设电缆等设施许可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跨越、穿越公路及在公路用地范围内架设、埋设管线、电缆等设施，或者利用公路桥梁、公路隧道、涵洞铺设电缆等设施许可（高速公路及国省干线管径</w:t>
            </w:r>
            <w:r>
              <w:rPr>
                <w:rStyle w:val="font51"/>
                <w:rFonts w:hAnsi="宋体" w:hint="default"/>
                <w:sz w:val="18"/>
                <w:szCs w:val="18"/>
                <w:lang/>
              </w:rPr>
              <w:t>2</w:t>
            </w:r>
            <w:r>
              <w:rPr>
                <w:rStyle w:val="font21"/>
                <w:rFonts w:hAnsi="宋体" w:hint="default"/>
                <w:sz w:val="18"/>
                <w:szCs w:val="18"/>
                <w:lang/>
              </w:rPr>
              <w:t>米以上除外）</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公路建筑控制区内埋设管线、电缆等设施许可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占用、挖掘公路、公路用地或者使公路改线审批</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占用、挖掘公路、公路用地或者使公路改线审批（高速公路和国省重大工程除外）</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设置非公路标志审批</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公路超限运输许可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普通公路超限运输许可</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行政许可</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公路超限运输许可</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省内公路（总重</w:t>
            </w:r>
            <w:r>
              <w:rPr>
                <w:rStyle w:val="font51"/>
                <w:rFonts w:hAnsi="宋体" w:hint="default"/>
                <w:sz w:val="18"/>
                <w:szCs w:val="18"/>
                <w:lang/>
              </w:rPr>
              <w:t>100</w:t>
            </w:r>
            <w:r>
              <w:rPr>
                <w:rStyle w:val="font21"/>
                <w:rFonts w:hAnsi="宋体" w:hint="default"/>
                <w:sz w:val="18"/>
                <w:szCs w:val="18"/>
                <w:lang/>
              </w:rPr>
              <w:t>吨以下）超限运输许可</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27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对违反《中华人民共和国公路法》行为的处罚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对擅自占用、挖掘公路，危及公路安全等行为的处罚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对违反《中华人民共和国公路法》行为的处罚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对造成公路路面损坏、污染或者影响公路畅通的，或将公路作为试车场地行为的处罚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29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对违反《中华人民共和国公路法》行为的处罚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对造成公路损坏，责任者未报告行为的处罚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对违反《中华人民共和国公路法》行为的处罚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对在公路、公路用地范围内设置非公路标志行为的处罚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对违反《中华人民共和国公路法》行为的处罚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对未经批准在公路上增设平面交叉道口涉路行为的处罚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对违反《中华人民共和国公路法》行为的处罚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对在公路建筑控制区内修建建筑物、地面构筑物或者擅自埋设管线、电缆等设施行为的处罚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对在公路建筑控制区内扩建建筑物、地面构筑物或在公路建筑控制区外修建建筑物、地面构筑物以及其他设施遮挡公路标志或者妨碍安全视距行为的处罚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对危及公路桥梁安全施工作业行为或利用公路桥梁（含桥下空间）、公路隧道、涵洞堆放物品，搭建设施以及铺设高压电线和输送易燃、易爆或者其他有毒有害气体、液体管道行为的处罚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35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对利用公路附属设施架设管道、悬挂物品，可能危及公路安全行为以及涉路工程设施影响公路完好、安全和畅通行为的处罚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对承运人租借、转让、伪造、变造《超限运输车辆通行证》行为的处罚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对未经批准更新采伐护路林行为的处罚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对未经许可进行占用、挖掘公路、公路用地或者使公路改线的，利用公路桥梁、公路隧道、涵洞铺设电缆等设施的，利用跨越公路的设施悬挂非公路标志的以及在公路上改造平面交叉道口的涉路施工活动的处罚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39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对采取故意堵塞固定超限检测站点通行车道、强行通过固定超限检测站点等方式扰乱超限检测秩序的和对采取短途驳载等方式逃避超限检测的处罚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对违反公路安全保护条例行为的处罚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对未按照国务院交通运输主管部门规定的技术规范和操作规程进行公路养护作业的处罚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擅自在公路上设卡、收费的处罚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42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未经有关交通主管部门批准擅自施工的处罚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行政强制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对公路上违法物品的强制拆除</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对擅自在公路用地范围内设置公路标志以外的其他标志的强制拆除</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行政强制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对公路上违法物品的强制拆除</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对擅自在公路建筑控制区内修建的建筑物、地面构筑物、埋设的管线、电缆等设施的强制拆除</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行政强制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对公路上违法物品的强制拆除</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对在公路建筑控制区内扩建建筑物、地面构筑物或在公路建筑控制区外修建的建筑物、地面构筑物以及其他设施遮挡公路标志或妨碍安全视距设施的强制拆除</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行政强制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对公路上违法行为者车辆、工具的扣押</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对造成公路、公路附属设施损坏，拒不接受现场调查处理车辆、工具的扣押</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行政强制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对公路上违法行为者车辆、工具的扣押</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对扰乱超限检测秩序或逃避超限检测车辆的扣押</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行政强制</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对公路上违法行为者车辆、工具的扣押</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未按照指定时间、路线和速度行驶的拒不改正的或未随车携带超限运输车辆通行证的行为的强制</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49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对公路保护状况监督检查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50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行政确认</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公路施工作业验收</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庄河市交通运输局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其他行政权力</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道路货物运输站（场）经营备案</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EC1BE4">
            <w:pPr>
              <w:jc w:val="center"/>
              <w:rPr>
                <w:rFonts w:ascii="仿宋_GB2312" w:eastAsia="仿宋_GB2312" w:hAnsi="仿宋_GB2312" w:cs="仿宋_GB2312"/>
                <w:color w:val="000000"/>
                <w:kern w:val="0"/>
                <w:sz w:val="18"/>
                <w:szCs w:val="18"/>
                <w:lang/>
              </w:rPr>
            </w:pP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对未取得相应资质、资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质证书已过有效期或者</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超出资质许可范围从事</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建设工程质量检测活动</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对检测机构隐瞒有关情</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况或者提供虚假材料申</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请资质行为的行政处罚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对以欺骗、贿赂等不正</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当手段取得资质证书行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对未按规定办理检测机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构资质证书变更手续行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对检测机构未规定向资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质许可机关提出资质重</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新核定申请行为的行政</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对检测机构未建立建设工程过程数据和结果数据、检测影像资料及检测报告记录与留存制度，未对检测数据和检测报告的真</w:t>
            </w:r>
            <w:r>
              <w:rPr>
                <w:rFonts w:ascii="仿宋_GB2312" w:eastAsia="仿宋_GB2312" w:hAnsi="宋体" w:cs="仿宋_GB2312" w:hint="eastAsia"/>
                <w:color w:val="000000"/>
                <w:kern w:val="0"/>
                <w:sz w:val="18"/>
                <w:szCs w:val="18"/>
                <w:lang/>
              </w:rPr>
              <w:lastRenderedPageBreak/>
              <w:t>实性、准确性负责行为的行政处罚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lastRenderedPageBreak/>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58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对出具虚假的检测数据</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或者检测报告行为的行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59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对转包或者违法分包建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设工程质量检测业务行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对涂改、倒卖、出租、</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出借或者以其他形式非</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法转让资质证书行为的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对违反工程建设强制性</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标准进行检测行为的行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对使用不能满足所开展</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建设工程质量检测活动</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要求的检测人员或者仪</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器设备行为的行政处罚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对检测人员违规行为的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对与所检测建设工程相关的建设、施工、监理单位，以及建筑材料、建筑构配件和设备供应单位有隶属关系或者其他利害关系行为的行政处罚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65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对推荐或者监制建筑材</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料、建筑构配件和设备</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的行为的行政处罚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对未按照规定在检测报</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告上签字盖章行为的行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对未及时报告发现的违</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反有关法律法规规定和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工程建设强制性标准等</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对未及时报告涉及结构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安全、主要使用功能的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不合格检测结果行为的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69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对未按照规定进行档案</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和台账管理行为的行政</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对未建立并使用信息化</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管理系统对检测活动进</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行管理行为的行政处罚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对不满足跨省、自治</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区、直辖市承担检测业</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务的要求开展相应建设</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工程质量检测活动行为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72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对接受监督检查时不如实提供有关资料、不按照要求参加能力验证和比对试验，或者拒绝、阻碍监督检查行为的行政处罚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对检测机构违法所得行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对委托未取得相应资质</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的检测机构进行检测行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对未将建设工程质量检</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测费用列入工程概预算</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并单独列支行为的行政</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对未按照规定实施见证</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对提供的检测试样不满</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足符合性、真实性、代</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表性要求行为的行政处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对明示或者暗示检测机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构出具虚假检测报告行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79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对篡改或者伪造检测报</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告行为的行政处罚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对取样、制样和送检试</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样不符合规定和工程建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lastRenderedPageBreak/>
              <w:t>设强制性标准行为的行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lastRenderedPageBreak/>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81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对违反《建设工程质量检测管理办法》规定行为的行政处罚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对单位直接负责的主管</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人员和其他直接责任人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员违规行为的行政处罚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建设单位明示或者暗示勘察、设计、施工等单位和从业人员违反抗震设防强制性标准，降低工程抗震性能的行政处罚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建设单位未经超限高层</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建筑工程抗震设防审批</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进行施工的行政处罚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建设单位未组织勘察、</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设计、施工、工程监理</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单位建立隔震减震工程</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质量可追溯制度的行政</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建设单位未对隔震减震装置采购、勘察、设计、进场检测、安装施工、竣工验收等全过程的信息资料进行采集和存储，并纳入建设项目档案的行政处罚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设计单位未按照超限高</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层建筑工程抗震设防审</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批意见进行施工图设计</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87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设计单位未在初步设计</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阶段将建设工程抗震设</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防专篇作为设计文件组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成部分的行政处罚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设计单位未按照抗震设</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防强制性标准进行设计</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89</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施工单位在施工中未按</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照抗震设防强制性标准</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进行施工的行政处罚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90</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施工单位未对隔震减震</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装置取样送检或者使用</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不合格隔震减震装置的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91</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工程质量检测机构未建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立建设工程过程数据和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结果数据、检测影像资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料及检测报告记录与留</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存制度的行政处罚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92</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工程质量检测机构出具</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虚假的检测数据或者检</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测报告的行政处罚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93</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抗震性能鉴定机构未按</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照抗震设防强制性标准</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进行抗震性能鉴定的行</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lastRenderedPageBreak/>
              <w:t>94</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抗震性能鉴定机构出具</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虚假鉴定结果的行政处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95</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擅自变动、损坏或者拆</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除建设工程抗震构件、</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隔震沟、隔震缝、隔震</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减震装置及隔震标识的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96</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庄河市住房和城乡建设局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行政处罚</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对违反《建设工程抗震管理条例》规定行为的行政处罚</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给予单位罚款处罚的，</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对其直接负责的主管人</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员和其他直接责任人员</w:t>
            </w:r>
            <w:r>
              <w:rPr>
                <w:rFonts w:ascii="仿宋_GB2312" w:eastAsia="仿宋_GB2312" w:hAnsi="宋体" w:cs="仿宋_GB2312" w:hint="eastAsia"/>
                <w:color w:val="000000"/>
                <w:kern w:val="0"/>
                <w:sz w:val="18"/>
                <w:szCs w:val="18"/>
                <w:lang/>
              </w:rPr>
              <w:br/>
            </w:r>
            <w:r>
              <w:rPr>
                <w:rFonts w:ascii="仿宋_GB2312" w:eastAsia="仿宋_GB2312" w:hAnsi="宋体" w:cs="仿宋_GB2312" w:hint="eastAsia"/>
                <w:color w:val="000000"/>
                <w:kern w:val="0"/>
                <w:sz w:val="18"/>
                <w:szCs w:val="18"/>
                <w:lang/>
              </w:rPr>
              <w:t>的行政处罚</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97</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庄河市民政局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社会团体年度检查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社会团体年度检查</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r w:rsidR="00EC1BE4">
        <w:trPr>
          <w:gridBefore w:val="1"/>
          <w:wBefore w:w="191" w:type="dxa"/>
          <w:trHeight w:val="560"/>
        </w:trPr>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98</w:t>
            </w:r>
          </w:p>
        </w:tc>
        <w:tc>
          <w:tcPr>
            <w:tcW w:w="1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庄河市民政局</w:t>
            </w:r>
          </w:p>
        </w:tc>
        <w:tc>
          <w:tcPr>
            <w:tcW w:w="1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行政检查</w:t>
            </w:r>
          </w:p>
        </w:tc>
        <w:tc>
          <w:tcPr>
            <w:tcW w:w="5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民办非企业年度检查</w:t>
            </w:r>
          </w:p>
        </w:tc>
        <w:tc>
          <w:tcPr>
            <w:tcW w:w="26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C1BE4" w:rsidRDefault="008F446B">
            <w:pPr>
              <w:widowControl/>
              <w:jc w:val="center"/>
              <w:textAlignment w:val="center"/>
              <w:rPr>
                <w:rFonts w:ascii="仿宋_GB2312" w:eastAsia="仿宋_GB2312" w:hAnsi="仿宋_GB2312" w:cs="仿宋_GB2312"/>
                <w:color w:val="000000"/>
                <w:kern w:val="0"/>
                <w:sz w:val="18"/>
                <w:szCs w:val="18"/>
                <w:lang/>
              </w:rPr>
            </w:pPr>
            <w:r>
              <w:rPr>
                <w:rFonts w:ascii="仿宋_GB2312" w:eastAsia="仿宋_GB2312" w:hAnsi="宋体" w:cs="仿宋_GB2312" w:hint="eastAsia"/>
                <w:color w:val="000000"/>
                <w:kern w:val="0"/>
                <w:sz w:val="18"/>
                <w:szCs w:val="18"/>
                <w:lang/>
              </w:rPr>
              <w:t>民办非企业年度检查</w:t>
            </w:r>
          </w:p>
        </w:tc>
        <w:tc>
          <w:tcPr>
            <w:tcW w:w="30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8F446B">
            <w:pPr>
              <w:jc w:val="center"/>
              <w:rPr>
                <w:rFonts w:ascii="仿宋_GB2312" w:eastAsia="仿宋_GB2312" w:hAnsi="仿宋_GB2312" w:cs="仿宋_GB2312"/>
                <w:color w:val="000000"/>
                <w:kern w:val="0"/>
                <w:sz w:val="18"/>
                <w:szCs w:val="18"/>
                <w:lang/>
              </w:rPr>
            </w:pPr>
            <w:r>
              <w:rPr>
                <w:rFonts w:ascii="仿宋_GB2312" w:eastAsia="仿宋_GB2312" w:hAnsi="仿宋_GB2312" w:cs="仿宋_GB2312" w:hint="eastAsia"/>
                <w:color w:val="000000"/>
                <w:kern w:val="0"/>
                <w:sz w:val="18"/>
                <w:szCs w:val="18"/>
                <w:lang/>
              </w:rPr>
              <w:t>法律、法规、规章新设行政权力</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1BE4" w:rsidRDefault="00EC1BE4">
            <w:pPr>
              <w:jc w:val="center"/>
              <w:rPr>
                <w:rFonts w:ascii="仿宋_GB2312" w:eastAsia="仿宋_GB2312" w:hAnsi="仿宋_GB2312" w:cs="仿宋_GB2312"/>
                <w:color w:val="000000"/>
                <w:kern w:val="0"/>
                <w:sz w:val="18"/>
                <w:szCs w:val="18"/>
                <w:lang/>
              </w:rPr>
            </w:pPr>
          </w:p>
        </w:tc>
      </w:tr>
    </w:tbl>
    <w:p w:rsidR="00EC1BE4" w:rsidRDefault="00EC1BE4">
      <w:pPr>
        <w:spacing w:line="600" w:lineRule="exact"/>
        <w:rPr>
          <w:rFonts w:ascii="仿宋_GB2312" w:eastAsia="仿宋_GB2312" w:hAnsi="仿宋_GB2312" w:cs="仿宋_GB2312"/>
          <w:b/>
          <w:bCs/>
          <w:sz w:val="32"/>
          <w:szCs w:val="32"/>
        </w:rPr>
      </w:pPr>
    </w:p>
    <w:sectPr w:rsidR="00EC1BE4" w:rsidSect="00EC1BE4">
      <w:footerReference w:type="default" r:id="rId8"/>
      <w:pgSz w:w="16838" w:h="11906" w:orient="landscape"/>
      <w:pgMar w:top="1800" w:right="1440" w:bottom="1800" w:left="183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46B" w:rsidRDefault="008F446B" w:rsidP="00EC1BE4">
      <w:r>
        <w:separator/>
      </w:r>
    </w:p>
  </w:endnote>
  <w:endnote w:type="continuationSeparator" w:id="0">
    <w:p w:rsidR="008F446B" w:rsidRDefault="008F446B" w:rsidP="00EC1B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embedRegular r:id="rId1" w:subsetted="1" w:fontKey="{A5053732-6AA4-49AB-88BF-793B6A704990}"/>
  </w:font>
  <w:font w:name="仿宋_GB2312">
    <w:panose1 w:val="02010609030101010101"/>
    <w:charset w:val="86"/>
    <w:family w:val="modern"/>
    <w:pitch w:val="fixed"/>
    <w:sig w:usb0="00000001" w:usb1="080E0000" w:usb2="00000010" w:usb3="00000000" w:csb0="00040000" w:csb1="00000000"/>
    <w:embedRegular r:id="rId2" w:subsetted="1" w:fontKey="{590E6D15-DADB-4FB6-9327-DE42EE5075D5}"/>
  </w:font>
  <w:font w:name="黑体">
    <w:altName w:val="SimHei"/>
    <w:panose1 w:val="02010609060101010101"/>
    <w:charset w:val="86"/>
    <w:family w:val="modern"/>
    <w:pitch w:val="fixed"/>
    <w:sig w:usb0="800002BF" w:usb1="38CF7CFA" w:usb2="00000016" w:usb3="00000000" w:csb0="00040001" w:csb1="00000000"/>
    <w:embedRegular r:id="rId3" w:subsetted="1" w:fontKey="{8723D2A5-08BB-4754-A94D-9BA1E41A9C6D}"/>
  </w:font>
  <w:font w:name="文鼎小标宋简">
    <w:altName w:val="方正小标宋简体"/>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E4" w:rsidRDefault="00EC1BE4">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filled="f" stroked="f">
          <v:textbox style="mso-fit-shape-to-text:t" inset="0,0,0,0">
            <w:txbxContent>
              <w:p w:rsidR="00EC1BE4" w:rsidRDefault="00EC1BE4">
                <w:pPr>
                  <w:pStyle w:val="a5"/>
                </w:pPr>
                <w:r>
                  <w:fldChar w:fldCharType="begin"/>
                </w:r>
                <w:r w:rsidR="008F446B">
                  <w:instrText xml:space="preserve"> PAGE  \* MERGEFORMAT </w:instrText>
                </w:r>
                <w:r>
                  <w:fldChar w:fldCharType="separate"/>
                </w:r>
                <w:r w:rsidR="0034143D">
                  <w:rPr>
                    <w:noProof/>
                  </w:rPr>
                  <w:t>13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46B" w:rsidRDefault="008F446B" w:rsidP="00EC1BE4">
      <w:r>
        <w:separator/>
      </w:r>
    </w:p>
  </w:footnote>
  <w:footnote w:type="continuationSeparator" w:id="0">
    <w:p w:rsidR="008F446B" w:rsidRDefault="008F446B" w:rsidP="00EC1B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embedTrueTypeFonts/>
  <w:saveSubset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FmMWQ3NzJkZTE3ZGI0MGQ1Y2FkZDg2Yjg1MTM2ZGQifQ=="/>
  </w:docVars>
  <w:rsids>
    <w:rsidRoot w:val="00EC1BE4"/>
    <w:rsid w:val="FF773D90"/>
    <w:rsid w:val="00305CE7"/>
    <w:rsid w:val="0034143D"/>
    <w:rsid w:val="008F446B"/>
    <w:rsid w:val="00EC1BE4"/>
    <w:rsid w:val="017F5DEB"/>
    <w:rsid w:val="02D15D9B"/>
    <w:rsid w:val="04272382"/>
    <w:rsid w:val="0A6C0264"/>
    <w:rsid w:val="0E6B152D"/>
    <w:rsid w:val="147E4E1C"/>
    <w:rsid w:val="18D8087C"/>
    <w:rsid w:val="20FE5D62"/>
    <w:rsid w:val="249C7F98"/>
    <w:rsid w:val="27FF6046"/>
    <w:rsid w:val="339E69DF"/>
    <w:rsid w:val="3B7F4E52"/>
    <w:rsid w:val="3E676B5C"/>
    <w:rsid w:val="42F041F3"/>
    <w:rsid w:val="4436276D"/>
    <w:rsid w:val="508F56DF"/>
    <w:rsid w:val="56B7020B"/>
    <w:rsid w:val="58095D77"/>
    <w:rsid w:val="580B0D23"/>
    <w:rsid w:val="606D70BF"/>
    <w:rsid w:val="63911317"/>
    <w:rsid w:val="64557D2B"/>
    <w:rsid w:val="661F4124"/>
    <w:rsid w:val="6A0311FB"/>
    <w:rsid w:val="6B105217"/>
    <w:rsid w:val="6F162691"/>
    <w:rsid w:val="7B203254"/>
    <w:rsid w:val="7DBB271B"/>
    <w:rsid w:val="9FEF38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EC1BE4"/>
    <w:pPr>
      <w:widowControl w:val="0"/>
      <w:jc w:val="both"/>
    </w:pPr>
    <w:rPr>
      <w:rFonts w:ascii="Calibri" w:hAnsi="Calibri"/>
      <w:kern w:val="2"/>
      <w:sz w:val="21"/>
      <w:szCs w:val="24"/>
    </w:rPr>
  </w:style>
  <w:style w:type="paragraph" w:styleId="3">
    <w:name w:val="heading 3"/>
    <w:basedOn w:val="a"/>
    <w:next w:val="a"/>
    <w:unhideWhenUsed/>
    <w:qFormat/>
    <w:rsid w:val="00EC1BE4"/>
    <w:pPr>
      <w:spacing w:before="100" w:beforeAutospacing="1" w:after="100" w:afterAutospacing="1"/>
      <w:jc w:val="left"/>
      <w:outlineLvl w:val="2"/>
    </w:pPr>
    <w:rPr>
      <w:rFonts w:ascii="宋体" w:hAnsi="宋体" w:hint="eastAsia"/>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4"/>
    <w:unhideWhenUsed/>
    <w:qFormat/>
    <w:rsid w:val="00EC1BE4"/>
    <w:pPr>
      <w:ind w:firstLineChars="200" w:firstLine="420"/>
    </w:pPr>
  </w:style>
  <w:style w:type="paragraph" w:styleId="a4">
    <w:name w:val="Body Text"/>
    <w:basedOn w:val="a"/>
    <w:next w:val="a0"/>
    <w:uiPriority w:val="1"/>
    <w:unhideWhenUsed/>
    <w:qFormat/>
    <w:rsid w:val="00EC1BE4"/>
    <w:pPr>
      <w:ind w:left="115"/>
    </w:pPr>
    <w:rPr>
      <w:sz w:val="28"/>
    </w:rPr>
  </w:style>
  <w:style w:type="paragraph" w:styleId="a5">
    <w:name w:val="footer"/>
    <w:basedOn w:val="a"/>
    <w:qFormat/>
    <w:rsid w:val="00EC1BE4"/>
    <w:pPr>
      <w:tabs>
        <w:tab w:val="center" w:pos="4153"/>
        <w:tab w:val="right" w:pos="8306"/>
      </w:tabs>
      <w:snapToGrid w:val="0"/>
      <w:jc w:val="left"/>
    </w:pPr>
    <w:rPr>
      <w:sz w:val="18"/>
    </w:rPr>
  </w:style>
  <w:style w:type="paragraph" w:styleId="a6">
    <w:name w:val="header"/>
    <w:basedOn w:val="a"/>
    <w:qFormat/>
    <w:rsid w:val="00EC1BE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EC1BE4"/>
    <w:pPr>
      <w:spacing w:before="100" w:beforeAutospacing="1" w:after="100" w:afterAutospacing="1"/>
      <w:jc w:val="left"/>
    </w:pPr>
    <w:rPr>
      <w:kern w:val="0"/>
      <w:sz w:val="24"/>
    </w:rPr>
  </w:style>
  <w:style w:type="character" w:customStyle="1" w:styleId="font51">
    <w:name w:val="font51"/>
    <w:basedOn w:val="a1"/>
    <w:qFormat/>
    <w:rsid w:val="00EC1BE4"/>
    <w:rPr>
      <w:rFonts w:ascii="仿宋_GB2312" w:eastAsia="仿宋_GB2312" w:cs="仿宋_GB2312" w:hint="eastAsia"/>
      <w:color w:val="000000"/>
      <w:sz w:val="16"/>
      <w:szCs w:val="16"/>
      <w:u w:val="none"/>
    </w:rPr>
  </w:style>
  <w:style w:type="character" w:customStyle="1" w:styleId="font21">
    <w:name w:val="font21"/>
    <w:basedOn w:val="a1"/>
    <w:qFormat/>
    <w:rsid w:val="00EC1BE4"/>
    <w:rPr>
      <w:rFonts w:ascii="仿宋_GB2312" w:eastAsia="仿宋_GB2312" w:cs="仿宋_GB2312" w:hint="eastAsia"/>
      <w:color w:val="000000"/>
      <w:sz w:val="16"/>
      <w:szCs w:val="16"/>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ac431816-3423-432a-957e-c288debf3e98</errorID>
      <errorWord xmlns="http://schemas.wps.cn/vas-ai-hub/contract-review">或</errorWord>
      <group xmlns="http://schemas.wps.cn/vas-ai-hub/contract-review">L1_Grammar</group>
      <groupName xmlns="http://schemas.wps.cn/vas-ai-hub/contract-review">语法问题</groupName>
      <ability xmlns="http://schemas.wps.cn/vas-ai-hub/contract-review">L2_Missing</ability>
      <abilityName xmlns="http://schemas.wps.cn/vas-ai-hub/contract-review">成分残缺</abilityName>
      <candidateList xmlns="http://schemas.wps.cn/vas-ai-hub/contract-review">
        <item xmlns="http://schemas.wps.cn/vas-ai-hub/contract-review">以及</item>
      </candidateList>
      <explain xmlns="http://schemas.wps.cn/vas-ai-hub/contract-review">句子中可能存在主谓宾、修饰语或者必要的词语残缺。</explain>
      <paraID xmlns="http://schemas.wps.cn/vas-ai-hub/contract-review">4B1ED294</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644bf653-0f40-49a2-8576-b36d3abaa382</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309585D1</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f4602052-0b0d-4c01-b653-426c82111c96</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 5CCDEB6</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1843dfe3-cc6a-4c1e-8dd5-edd2f00985db</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19E910B2</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8992a813-b693-47de-b825-623c3e91dffe</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40990C99</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ae79d25b-a5f4-4396-b267-69b4e2a409e0</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 28B06D6</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f2bb2cf2-84ed-44a7-96d3-b04fb3d8d155</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 C48D131</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688aa9ed-d0b0-4da7-a719-3b3741e0df4a</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54CD231E</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e8a8c891-092a-466b-81e0-a8fcebcffb6a</errorID>
      <errorWord xmlns="http://schemas.wps.cn/vas-ai-hub/contract-review">公路安全保护条例</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《公路安全保护条例》</item>
      </candidateList>
      <explain xmlns="http://schemas.wps.cn/vas-ai-hub/contract-review">完整法律法规名称需要加书名号，请注意检查。</explain>
      <paraID xmlns="http://schemas.wps.cn/vas-ai-hub/contract-review">46955B76</paraID>
      <start xmlns="http://schemas.wps.cn/vas-ai-hub/contract-review">3</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5342962-89A9-44CD-8FC0-FDA4C5D6284A}">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1431</Words>
  <Characters>8162</Characters>
  <Application>Microsoft Office Word</Application>
  <DocSecurity>0</DocSecurity>
  <Lines>68</Lines>
  <Paragraphs>19</Paragraphs>
  <ScaleCrop>false</ScaleCrop>
  <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DingKun</dc:creator>
  <cp:lastModifiedBy>张焕</cp:lastModifiedBy>
  <cp:revision>2</cp:revision>
  <cp:lastPrinted>2026-05-28T07:03:00Z</cp:lastPrinted>
  <dcterms:created xsi:type="dcterms:W3CDTF">2023-11-07T05:28:00Z</dcterms:created>
  <dcterms:modified xsi:type="dcterms:W3CDTF">2026-08-31T00:41:00Z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F8D36789EDBE8C89634B8E6A182DE49F_43</vt:lpwstr>
  </property>
  <property fmtid="{D5CDD505-2E9C-101B-9397-08002B2CF9AE}" pid="4" name="KSOTemplateDocerSaveRecord">
    <vt:lpwstr>eyJoZGlkIjoiOWFmMWQ3NzJkZTE3ZGI0MGQ1Y2FkZDg2Yjg1MTM2ZGQiLCJ1c2VySWQiOiIyODU1NjUxNzMifQ==</vt:lpwstr>
  </property>
</Properties>
</file>