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/>
        <w:spacing w:line="640" w:lineRule="exact"/>
        <w:jc w:val="center"/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eastAsia="zh-CN"/>
        </w:rPr>
        <w:t>光明山镇202</w:t>
      </w:r>
      <w:r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val="en-US" w:eastAsia="zh-CN"/>
        </w:rPr>
        <w:t>2</w:t>
      </w:r>
      <w:r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eastAsia="zh-CN"/>
        </w:rPr>
        <w:t>年预算执行情况和</w:t>
      </w:r>
    </w:p>
    <w:p>
      <w:pPr>
        <w:shd w:val="clear"/>
        <w:spacing w:line="640" w:lineRule="exact"/>
        <w:jc w:val="center"/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val="en-US" w:eastAsia="zh-CN"/>
        </w:rPr>
        <w:t>3</w:t>
      </w:r>
      <w:r>
        <w:rPr>
          <w:rFonts w:hint="eastAsia" w:ascii="方正小标宋简体" w:hAnsi="方正小标宋简体" w:eastAsia="方正小标宋简体"/>
          <w:b/>
          <w:kern w:val="0"/>
          <w:sz w:val="44"/>
          <w:szCs w:val="44"/>
          <w:lang w:eastAsia="zh-CN"/>
        </w:rPr>
        <w:t>年预算草案报告（书面）</w:t>
      </w:r>
    </w:p>
    <w:p>
      <w:pPr>
        <w:shd w:val="clear" w:color="auto" w:fill="auto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shd w:val="clear" w:color="auto" w:fill="auto"/>
          <w:lang w:val="en-US" w:eastAsia="zh-CN"/>
        </w:rPr>
        <w:t>12</w:t>
      </w:r>
      <w:r>
        <w:rPr>
          <w:rFonts w:hint="eastAsia" w:ascii="仿宋" w:hAnsi="仿宋" w:eastAsia="仿宋"/>
          <w:sz w:val="28"/>
          <w:szCs w:val="28"/>
          <w:shd w:val="clear" w:color="auto" w:fill="auto"/>
        </w:rPr>
        <w:t>月</w:t>
      </w:r>
      <w:r>
        <w:rPr>
          <w:rFonts w:hint="eastAsia" w:ascii="仿宋" w:hAnsi="仿宋" w:eastAsia="仿宋"/>
          <w:sz w:val="28"/>
          <w:szCs w:val="28"/>
          <w:shd w:val="clear" w:color="auto" w:fill="auto"/>
          <w:lang w:val="en-US" w:eastAsia="zh-CN"/>
        </w:rPr>
        <w:t>16</w:t>
      </w:r>
      <w:r>
        <w:rPr>
          <w:rFonts w:hint="eastAsia" w:ascii="仿宋" w:hAnsi="仿宋" w:eastAsia="仿宋"/>
          <w:sz w:val="28"/>
          <w:szCs w:val="28"/>
          <w:shd w:val="clear" w:color="auto" w:fill="auto"/>
        </w:rPr>
        <w:t>日</w:t>
      </w:r>
      <w:r>
        <w:rPr>
          <w:rFonts w:hint="eastAsia" w:ascii="仿宋" w:hAnsi="仿宋" w:eastAsia="仿宋"/>
          <w:sz w:val="28"/>
          <w:szCs w:val="28"/>
          <w:shd w:val="clear" w:color="auto" w:fill="auto"/>
          <w:lang w:eastAsia="zh-CN"/>
        </w:rPr>
        <w:t>光明山镇</w:t>
      </w:r>
      <w:r>
        <w:rPr>
          <w:rFonts w:hint="eastAsia" w:ascii="仿宋" w:hAnsi="仿宋" w:eastAsia="仿宋"/>
          <w:sz w:val="28"/>
          <w:szCs w:val="28"/>
          <w:shd w:val="clear" w:color="auto" w:fill="auto"/>
        </w:rPr>
        <w:t>第</w:t>
      </w:r>
      <w:r>
        <w:rPr>
          <w:rFonts w:hint="eastAsia" w:ascii="仿宋" w:hAnsi="仿宋" w:eastAsia="仿宋"/>
          <w:sz w:val="28"/>
          <w:szCs w:val="28"/>
          <w:shd w:val="clear" w:color="auto" w:fill="auto"/>
          <w:lang w:val="en-US" w:eastAsia="zh-CN"/>
        </w:rPr>
        <w:t>二十</w:t>
      </w:r>
      <w:r>
        <w:rPr>
          <w:rFonts w:hint="eastAsia" w:ascii="仿宋" w:hAnsi="仿宋" w:eastAsia="仿宋"/>
          <w:sz w:val="28"/>
          <w:szCs w:val="28"/>
          <w:shd w:val="clear" w:color="auto" w:fill="auto"/>
        </w:rPr>
        <w:t>届人民代表大会第</w:t>
      </w:r>
      <w:r>
        <w:rPr>
          <w:rFonts w:hint="eastAsia" w:ascii="仿宋" w:hAnsi="仿宋" w:eastAsia="仿宋"/>
          <w:sz w:val="28"/>
          <w:szCs w:val="28"/>
          <w:shd w:val="clear" w:color="auto" w:fill="auto"/>
          <w:lang w:val="en-US" w:eastAsia="zh-CN"/>
        </w:rPr>
        <w:t>三</w:t>
      </w:r>
      <w:r>
        <w:rPr>
          <w:rFonts w:hint="eastAsia" w:ascii="仿宋" w:hAnsi="仿宋" w:eastAsia="仿宋"/>
          <w:sz w:val="28"/>
          <w:szCs w:val="28"/>
          <w:shd w:val="clear" w:color="auto" w:fill="auto"/>
        </w:rPr>
        <w:t>次</w:t>
      </w:r>
      <w:r>
        <w:rPr>
          <w:rFonts w:hint="eastAsia" w:ascii="仿宋" w:hAnsi="仿宋" w:eastAsia="仿宋"/>
          <w:sz w:val="28"/>
          <w:szCs w:val="28"/>
        </w:rPr>
        <w:t>会议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上</w:t>
      </w:r>
      <w:r>
        <w:rPr>
          <w:rFonts w:hint="eastAsia" w:ascii="仿宋" w:hAnsi="仿宋" w:eastAsia="仿宋"/>
          <w:sz w:val="28"/>
          <w:szCs w:val="28"/>
        </w:rPr>
        <w:t>）</w:t>
      </w:r>
    </w:p>
    <w:p>
      <w:pPr>
        <w:shd w:val="clear" w:color="auto" w:fill="auto"/>
        <w:jc w:val="center"/>
        <w:rPr>
          <w:rFonts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镇财政所长  娄  云</w:t>
      </w:r>
    </w:p>
    <w:p>
      <w:pPr>
        <w:shd w:val="clear"/>
        <w:spacing w:line="600" w:lineRule="exact"/>
        <w:rPr>
          <w:rFonts w:hint="eastAsia"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各位代表：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受镇政府委托，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现将光明山镇</w:t>
      </w:r>
      <w:r>
        <w:rPr>
          <w:rFonts w:hint="eastAsia" w:ascii="仿宋_GB2312" w:hAnsi="仿宋" w:eastAsia="仿宋_GB2312"/>
          <w:bCs/>
          <w:sz w:val="32"/>
          <w:szCs w:val="32"/>
        </w:rPr>
        <w:t>202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/>
          <w:bCs/>
          <w:sz w:val="32"/>
          <w:szCs w:val="32"/>
        </w:rPr>
        <w:t>年财政预算执行情况和202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bCs/>
          <w:sz w:val="32"/>
          <w:szCs w:val="32"/>
        </w:rPr>
        <w:t>年财政预算草案提请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二十</w:t>
      </w:r>
      <w:r>
        <w:rPr>
          <w:rFonts w:hint="eastAsia" w:ascii="仿宋_GB2312" w:hAnsi="仿宋" w:eastAsia="仿宋_GB2312"/>
          <w:bCs/>
          <w:sz w:val="32"/>
          <w:szCs w:val="32"/>
        </w:rPr>
        <w:t>届人民代表大会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" w:eastAsia="仿宋_GB2312"/>
          <w:bCs/>
          <w:sz w:val="32"/>
          <w:szCs w:val="32"/>
        </w:rPr>
        <w:t>次会议审查，并请各位列席人员提出意见。</w:t>
      </w:r>
    </w:p>
    <w:p>
      <w:pPr>
        <w:shd w:val="clear"/>
        <w:spacing w:line="600" w:lineRule="exact"/>
        <w:ind w:firstLine="630" w:firstLineChars="197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一、</w:t>
      </w:r>
      <w:r>
        <w:rPr>
          <w:rFonts w:hint="eastAsia" w:ascii="黑体" w:hAnsi="黑体" w:eastAsia="黑体"/>
          <w:bCs/>
          <w:sz w:val="32"/>
          <w:szCs w:val="32"/>
          <w:lang w:eastAsia="zh-CN"/>
        </w:rPr>
        <w:t>202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/>
          <w:bCs/>
          <w:sz w:val="32"/>
          <w:szCs w:val="32"/>
        </w:rPr>
        <w:t>年财政预算执行情况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光明山镇</w:t>
      </w:r>
      <w:r>
        <w:rPr>
          <w:rFonts w:hint="eastAsia" w:ascii="仿宋_GB2312" w:hAnsi="仿宋" w:eastAsia="仿宋_GB2312"/>
          <w:bCs/>
          <w:sz w:val="32"/>
          <w:szCs w:val="32"/>
        </w:rPr>
        <w:t>第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二十</w:t>
      </w:r>
      <w:r>
        <w:rPr>
          <w:rFonts w:hint="eastAsia" w:ascii="仿宋_GB2312" w:hAnsi="仿宋" w:eastAsia="仿宋_GB2312"/>
          <w:bCs/>
          <w:sz w:val="32"/>
          <w:szCs w:val="32"/>
        </w:rPr>
        <w:t>届人民代表大会第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一</w:t>
      </w:r>
      <w:r>
        <w:rPr>
          <w:rFonts w:hint="eastAsia" w:ascii="仿宋_GB2312" w:hAnsi="仿宋" w:eastAsia="仿宋_GB2312"/>
          <w:bCs/>
          <w:sz w:val="32"/>
          <w:szCs w:val="32"/>
        </w:rPr>
        <w:t>次会议上批准的我镇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/>
          <w:bCs/>
          <w:sz w:val="32"/>
          <w:szCs w:val="32"/>
        </w:rPr>
        <w:t>年财政预算，执行情况（收支数均为预计）如下：</w:t>
      </w:r>
    </w:p>
    <w:p>
      <w:pPr>
        <w:shd w:val="clear"/>
        <w:spacing w:line="600" w:lineRule="exact"/>
        <w:ind w:firstLine="640" w:firstLineChars="200"/>
        <w:rPr>
          <w:rFonts w:ascii="楷体_GB2312" w:hAnsi="楷体" w:eastAsia="楷体_GB2312"/>
          <w:bCs/>
          <w:sz w:val="32"/>
          <w:szCs w:val="32"/>
          <w:highlight w:val="none"/>
        </w:rPr>
      </w:pPr>
      <w:r>
        <w:rPr>
          <w:rFonts w:hint="eastAsia" w:ascii="楷体_GB2312" w:hAnsi="楷体" w:eastAsia="楷体_GB2312"/>
          <w:bCs/>
          <w:sz w:val="32"/>
          <w:szCs w:val="32"/>
          <w:highlight w:val="none"/>
        </w:rPr>
        <w:t>（一）一般公共预算执行情况</w:t>
      </w:r>
    </w:p>
    <w:p>
      <w:pPr>
        <w:shd w:val="clear"/>
        <w:spacing w:line="620" w:lineRule="exact"/>
        <w:ind w:firstLine="643" w:firstLineChars="200"/>
        <w:rPr>
          <w:rFonts w:hint="default" w:ascii="仿宋_GB2312" w:hAnsi="仿宋" w:eastAsia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  <w:lang w:val="en-US" w:eastAsia="zh-CN"/>
        </w:rPr>
        <w:t>全镇</w:t>
      </w: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</w:rPr>
        <w:t>一般公共预算收入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5083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万元，完成</w:t>
      </w:r>
      <w:r>
        <w:rPr>
          <w:rFonts w:hint="eastAsia" w:ascii="仿宋_GB2312" w:hAnsi="仿宋" w:eastAsia="仿宋_GB2312"/>
          <w:bCs/>
          <w:sz w:val="32"/>
          <w:szCs w:val="32"/>
        </w:rPr>
        <w:t>（收支完成均指比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调整后</w:t>
      </w:r>
      <w:r>
        <w:rPr>
          <w:rFonts w:hint="eastAsia" w:ascii="仿宋_GB2312" w:hAnsi="仿宋" w:eastAsia="仿宋_GB2312"/>
          <w:bCs/>
          <w:sz w:val="32"/>
          <w:szCs w:val="32"/>
        </w:rPr>
        <w:t>预算）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8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%，其中：税收收入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5036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万元；非税收入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47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万元。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转移性收入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911万元，完成100%，其中：上级转移性收入911万元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。</w:t>
      </w: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  <w:lang w:val="en-US" w:eastAsia="zh-CN"/>
        </w:rPr>
        <w:t>收入总量</w:t>
      </w:r>
      <w:r>
        <w:rPr>
          <w:rFonts w:hint="eastAsia" w:ascii="仿宋_GB2312" w:hAnsi="仿宋" w:eastAsia="仿宋_GB2312"/>
          <w:b w:val="0"/>
          <w:bCs/>
          <w:sz w:val="32"/>
          <w:szCs w:val="32"/>
          <w:highlight w:val="none"/>
          <w:lang w:val="en-US" w:eastAsia="zh-CN"/>
        </w:rPr>
        <w:t>为5994万元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。</w:t>
      </w: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  <w:lang w:val="en-US" w:eastAsia="zh-CN"/>
        </w:rPr>
        <w:t>全镇</w:t>
      </w: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</w:rPr>
        <w:t>一般公共预算</w:t>
      </w: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  <w:lang w:val="en-US" w:eastAsia="zh-CN"/>
        </w:rPr>
        <w:t>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5850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转移性支出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144万元，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支出总量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为5994万元。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收支平衡。</w:t>
      </w:r>
    </w:p>
    <w:p>
      <w:pPr>
        <w:shd w:val="clear"/>
        <w:spacing w:line="620" w:lineRule="exact"/>
        <w:ind w:firstLine="643" w:firstLineChars="200"/>
        <w:rPr>
          <w:rFonts w:ascii="仿宋_GB2312" w:hAnsi="仿宋" w:eastAsia="仿宋_GB2312"/>
          <w:bCs/>
          <w:sz w:val="32"/>
          <w:szCs w:val="32"/>
          <w:highlight w:val="none"/>
        </w:rPr>
      </w:pP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  <w:lang w:val="en-US" w:eastAsia="zh-CN"/>
        </w:rPr>
        <w:t>镇本级</w:t>
      </w:r>
      <w:r>
        <w:rPr>
          <w:rFonts w:hint="eastAsia" w:ascii="仿宋_GB2312" w:hAnsi="仿宋" w:eastAsia="仿宋_GB2312"/>
          <w:b/>
          <w:bCs w:val="0"/>
          <w:sz w:val="32"/>
          <w:szCs w:val="32"/>
          <w:highlight w:val="none"/>
        </w:rPr>
        <w:t>一般公共预算支出具体完成情况。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一般公共服务支出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1160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教育支出140万元；（3）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文化旅游体育与传媒支出5万元；（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）社会保障和就业支出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418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卫生健康支出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97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城乡社区支出100万元；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农林水支出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750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交通运输支出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85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资源勘探信息等支出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2957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万元；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住房保障支出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  <w:lang w:val="en-US" w:eastAsia="zh-CN"/>
        </w:rPr>
        <w:t>138</w:t>
      </w:r>
      <w:r>
        <w:rPr>
          <w:rFonts w:hint="eastAsia" w:ascii="仿宋_GB2312" w:hAnsi="仿宋" w:eastAsia="仿宋_GB2312"/>
          <w:bCs/>
          <w:sz w:val="32"/>
          <w:szCs w:val="32"/>
          <w:highlight w:val="none"/>
        </w:rPr>
        <w:t>万元。</w:t>
      </w:r>
    </w:p>
    <w:p>
      <w:pPr>
        <w:shd w:val="clear"/>
        <w:spacing w:line="620" w:lineRule="exact"/>
        <w:ind w:firstLine="643" w:firstLineChars="200"/>
        <w:rPr>
          <w:rFonts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 w:val="0"/>
          <w:sz w:val="32"/>
          <w:szCs w:val="32"/>
        </w:rPr>
        <w:t>上级财政转移支付情况。</w:t>
      </w:r>
      <w:r>
        <w:rPr>
          <w:rFonts w:hint="eastAsia" w:ascii="仿宋_GB2312" w:hAnsi="仿宋" w:eastAsia="仿宋_GB2312"/>
          <w:bCs/>
          <w:sz w:val="32"/>
          <w:szCs w:val="32"/>
        </w:rPr>
        <w:t>上级对我镇转移支付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911</w:t>
      </w:r>
      <w:r>
        <w:rPr>
          <w:rFonts w:hint="eastAsia" w:ascii="仿宋_GB2312" w:hAnsi="仿宋" w:eastAsia="仿宋_GB2312"/>
          <w:bCs/>
          <w:sz w:val="32"/>
          <w:szCs w:val="32"/>
        </w:rPr>
        <w:t>万元，其中：一般性转移支付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749</w:t>
      </w:r>
      <w:r>
        <w:rPr>
          <w:rFonts w:hint="eastAsia" w:ascii="仿宋_GB2312" w:hAnsi="仿宋" w:eastAsia="仿宋_GB2312"/>
          <w:bCs/>
          <w:sz w:val="32"/>
          <w:szCs w:val="32"/>
        </w:rPr>
        <w:t>万元，专项转移支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付162</w:t>
      </w:r>
      <w:r>
        <w:rPr>
          <w:rFonts w:hint="eastAsia" w:ascii="仿宋_GB2312" w:hAnsi="仿宋" w:eastAsia="仿宋_GB2312"/>
          <w:bCs/>
          <w:sz w:val="32"/>
          <w:szCs w:val="32"/>
        </w:rPr>
        <w:t>万元。</w:t>
      </w:r>
    </w:p>
    <w:p>
      <w:pPr>
        <w:shd w:val="clear"/>
        <w:spacing w:line="600" w:lineRule="exact"/>
        <w:ind w:firstLine="640" w:firstLineChars="200"/>
        <w:rPr>
          <w:rFonts w:hint="eastAsia" w:ascii="楷体_GB2312" w:hAnsi="楷体" w:eastAsia="楷体_GB2312"/>
          <w:bCs/>
          <w:sz w:val="32"/>
          <w:szCs w:val="32"/>
          <w:lang w:eastAsia="zh-CN"/>
        </w:rPr>
      </w:pPr>
      <w:r>
        <w:rPr>
          <w:rFonts w:hint="eastAsia" w:ascii="楷体_GB2312" w:hAnsi="楷体" w:eastAsia="楷体_GB2312"/>
          <w:bCs/>
          <w:sz w:val="32"/>
          <w:szCs w:val="32"/>
          <w:lang w:eastAsia="zh-CN"/>
        </w:rPr>
        <w:t>（二）政府性基金预算执行情况</w:t>
      </w:r>
    </w:p>
    <w:p>
      <w:pPr>
        <w:numPr>
          <w:ilvl w:val="0"/>
          <w:numId w:val="0"/>
        </w:numPr>
        <w:shd w:val="clear"/>
        <w:spacing w:line="620" w:lineRule="exact"/>
        <w:rPr>
          <w:rFonts w:hint="eastAsia" w:ascii="仿宋_GB2312" w:eastAsia="仿宋_GB2312"/>
          <w:b/>
          <w:bCs/>
          <w:color w:val="000080"/>
          <w:sz w:val="36"/>
          <w:szCs w:val="36"/>
          <w:lang w:val="en-US" w:eastAsia="zh-CN"/>
        </w:rPr>
      </w:pPr>
      <w:r>
        <w:rPr>
          <w:rFonts w:hint="eastAsia" w:ascii="仿宋_GB2312" w:eastAsia="仿宋_GB2312"/>
          <w:b/>
          <w:bCs/>
          <w:color w:val="000080"/>
          <w:sz w:val="36"/>
          <w:szCs w:val="36"/>
          <w:lang w:val="en-US" w:eastAsia="zh-CN"/>
        </w:rPr>
        <w:t xml:space="preserve">    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政府性基金收入为市级收入，我镇没有该项收入，因而不具备编此预算条件，但为使预算完整，也将政府性基金预算加以提出，并将收支安排为“0”</w:t>
      </w:r>
      <w:r>
        <w:rPr>
          <w:rFonts w:hint="eastAsia" w:ascii="仿宋_GB2312" w:hAnsi="仿宋" w:eastAsia="仿宋_GB2312"/>
          <w:bCs/>
          <w:sz w:val="32"/>
          <w:szCs w:val="32"/>
        </w:rPr>
        <w:t>。</w:t>
      </w:r>
    </w:p>
    <w:p>
      <w:pPr>
        <w:shd w:val="clear"/>
        <w:spacing w:line="600" w:lineRule="exact"/>
        <w:ind w:firstLine="640" w:firstLineChars="200"/>
        <w:rPr>
          <w:rFonts w:hint="eastAsia" w:ascii="楷体_GB2312" w:hAnsi="楷体" w:eastAsia="楷体_GB2312"/>
          <w:bCs/>
          <w:sz w:val="32"/>
          <w:szCs w:val="32"/>
          <w:lang w:eastAsia="zh-CN"/>
        </w:rPr>
      </w:pPr>
      <w:r>
        <w:rPr>
          <w:rFonts w:hint="eastAsia" w:ascii="楷体_GB2312" w:hAnsi="楷体" w:eastAsia="楷体_GB2312"/>
          <w:bCs/>
          <w:sz w:val="32"/>
          <w:szCs w:val="32"/>
          <w:lang w:eastAsia="zh-CN"/>
        </w:rPr>
        <w:t>（三）社会保险基金预算执行情况</w:t>
      </w:r>
    </w:p>
    <w:p>
      <w:pPr>
        <w:numPr>
          <w:ilvl w:val="0"/>
          <w:numId w:val="0"/>
        </w:numPr>
        <w:shd w:val="clear"/>
        <w:spacing w:line="620" w:lineRule="exact"/>
        <w:ind w:firstLine="640" w:firstLineChars="200"/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按照统筹级次，基本养老保险、“新农合”由市级统筹，所以未安排社会保险基金预算，但为使预算完整，也将社会保险基金预算加以提出，并将收支安排为“0”。</w:t>
      </w:r>
    </w:p>
    <w:p>
      <w:pPr>
        <w:shd w:val="clear"/>
        <w:spacing w:line="600" w:lineRule="exact"/>
        <w:ind w:firstLine="640" w:firstLineChars="200"/>
        <w:rPr>
          <w:rFonts w:hint="eastAsia" w:ascii="楷体_GB2312" w:hAnsi="楷体" w:eastAsia="楷体_GB2312"/>
          <w:bCs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/>
          <w:bCs/>
          <w:sz w:val="32"/>
          <w:szCs w:val="32"/>
          <w:lang w:eastAsia="zh-CN"/>
        </w:rPr>
        <w:t>（四）国有资本经营预算执行情况</w:t>
      </w:r>
    </w:p>
    <w:p>
      <w:pPr>
        <w:numPr>
          <w:ilvl w:val="0"/>
          <w:numId w:val="0"/>
        </w:numPr>
        <w:shd w:val="clear"/>
        <w:spacing w:line="620" w:lineRule="exact"/>
        <w:ind w:firstLine="640" w:firstLineChars="200"/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我镇无国有企业，因而不具备编此预算条件，所以未安排国有资本基金预算，但为使预算完整，也将国有资本预算加以提出，并将收支安排为“0”。</w:t>
      </w:r>
    </w:p>
    <w:p>
      <w:pPr>
        <w:shd w:val="clear"/>
        <w:spacing w:line="600" w:lineRule="exact"/>
        <w:ind w:firstLine="630" w:firstLineChars="197"/>
        <w:rPr>
          <w:rFonts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一年来，受疫情影响，</w:t>
      </w:r>
      <w:r>
        <w:rPr>
          <w:rFonts w:hint="eastAsia" w:ascii="仿宋_GB2312" w:hAnsi="仿宋" w:eastAsia="仿宋_GB2312"/>
          <w:bCs/>
          <w:sz w:val="32"/>
          <w:szCs w:val="32"/>
        </w:rPr>
        <w:t>经济下行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，外部环境更趋复杂严峻和不确定，我镇2022年财政预算执行的总体情况较上年有所下降。一方面我镇</w:t>
      </w:r>
      <w:r>
        <w:rPr>
          <w:rFonts w:hint="eastAsia" w:ascii="仿宋_GB2312" w:hAnsi="仿宋" w:eastAsia="仿宋_GB2312"/>
          <w:bCs/>
          <w:sz w:val="32"/>
          <w:szCs w:val="32"/>
        </w:rPr>
        <w:t>刚性支出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大幅增加，另一方面受企业缓税政策影响，财政收入锐减，导致了</w:t>
      </w:r>
      <w:r>
        <w:rPr>
          <w:rFonts w:hint="eastAsia" w:ascii="仿宋_GB2312" w:hAnsi="仿宋" w:eastAsia="仿宋_GB2312"/>
          <w:bCs/>
          <w:sz w:val="32"/>
          <w:szCs w:val="32"/>
        </w:rPr>
        <w:t>资金链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的</w:t>
      </w:r>
      <w:r>
        <w:rPr>
          <w:rFonts w:hint="eastAsia" w:ascii="仿宋_GB2312" w:hAnsi="仿宋" w:eastAsia="仿宋_GB2312"/>
          <w:bCs/>
          <w:sz w:val="32"/>
          <w:szCs w:val="32"/>
        </w:rPr>
        <w:t>持续紧绷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</w:rPr>
        <w:t>财政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预算执行情况出现了</w:t>
      </w:r>
      <w:r>
        <w:rPr>
          <w:rFonts w:hint="eastAsia" w:ascii="仿宋_GB2312" w:hAnsi="仿宋" w:eastAsia="仿宋_GB2312"/>
          <w:bCs/>
          <w:sz w:val="32"/>
          <w:szCs w:val="32"/>
        </w:rPr>
        <w:t>吃紧的一面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在保持经济平稳运行难度加大、财政收支矛盾较为突出的条件下</w:t>
      </w:r>
      <w:r>
        <w:rPr>
          <w:rFonts w:hint="eastAsia" w:ascii="仿宋_GB2312" w:hAnsi="仿宋" w:eastAsia="仿宋_GB2312"/>
          <w:bCs/>
          <w:sz w:val="32"/>
          <w:szCs w:val="32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我们</w:t>
      </w:r>
      <w:r>
        <w:rPr>
          <w:rFonts w:hint="eastAsia" w:ascii="仿宋_GB2312" w:hAnsi="仿宋" w:eastAsia="仿宋_GB2312"/>
          <w:bCs/>
          <w:sz w:val="32"/>
          <w:szCs w:val="32"/>
        </w:rPr>
        <w:t>切实调整支出结构，不遗余力保重点，从严从紧过日子，千方百计抓调度，保住了工资，保证了运转，保障了民生。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同时完善了</w:t>
      </w:r>
      <w:r>
        <w:rPr>
          <w:rFonts w:hint="eastAsia" w:ascii="仿宋_GB2312" w:hAnsi="仿宋" w:eastAsia="仿宋_GB2312"/>
          <w:bCs/>
          <w:sz w:val="32"/>
          <w:szCs w:val="32"/>
        </w:rPr>
        <w:t>《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光明山镇</w:t>
      </w:r>
      <w:r>
        <w:rPr>
          <w:rFonts w:hint="eastAsia" w:ascii="仿宋_GB2312" w:hAnsi="仿宋" w:eastAsia="仿宋_GB2312"/>
          <w:bCs/>
          <w:sz w:val="32"/>
          <w:szCs w:val="32"/>
        </w:rPr>
        <w:t>财务管理规定》，从规章制度上健全财政运行体系,通过实行预决算公开，强化了监督约束,严把基建投资等项目支出审核关，认真落实经费管控规定，继续坚持“先预算后支出”、“无预算不支出”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</w:rPr>
        <w:t>提高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了</w:t>
      </w:r>
      <w:r>
        <w:rPr>
          <w:rFonts w:hint="eastAsia" w:ascii="仿宋_GB2312" w:hAnsi="仿宋" w:eastAsia="仿宋_GB2312"/>
          <w:bCs/>
          <w:sz w:val="32"/>
          <w:szCs w:val="32"/>
        </w:rPr>
        <w:t>用财绩效。</w:t>
      </w:r>
    </w:p>
    <w:p>
      <w:pPr>
        <w:shd w:val="clear"/>
        <w:spacing w:line="600" w:lineRule="exact"/>
        <w:ind w:firstLine="630" w:firstLineChars="197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 xml:space="preserve"> 二、</w:t>
      </w:r>
      <w:r>
        <w:rPr>
          <w:rFonts w:hint="eastAsia" w:ascii="黑体" w:hAnsi="黑体" w:eastAsia="黑体"/>
          <w:bCs/>
          <w:sz w:val="32"/>
          <w:szCs w:val="32"/>
          <w:lang w:eastAsia="zh-CN"/>
        </w:rPr>
        <w:t>202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/>
          <w:bCs/>
          <w:sz w:val="32"/>
          <w:szCs w:val="32"/>
        </w:rPr>
        <w:t xml:space="preserve">年预算主要内容    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新的一年，我们将以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二十</w:t>
      </w:r>
      <w:r>
        <w:rPr>
          <w:rFonts w:hint="eastAsia" w:ascii="仿宋_GB2312" w:hAnsi="仿宋" w:eastAsia="仿宋_GB2312"/>
          <w:bCs/>
          <w:sz w:val="32"/>
          <w:szCs w:val="32"/>
        </w:rPr>
        <w:t>大精神为指导，坚持稳字当头、稳中求进的工作总基调，认真执行《预算法》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/>
          <w:bCs/>
          <w:sz w:val="32"/>
          <w:szCs w:val="32"/>
        </w:rPr>
        <w:t>树牢“过紧日子”思想，坚持稳中求进的方针，加大资金统筹力度，积极组织财政收入，深化国库集中支付，优化支出结构，兜牢兜实“三保”（保基本民生、保工资、保运转）底线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</w:rPr>
        <w:t>严格把关各项支出，全力确保全年收支平衡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。</w:t>
      </w:r>
    </w:p>
    <w:p>
      <w:pPr>
        <w:shd w:val="clear"/>
        <w:spacing w:line="600" w:lineRule="exact"/>
        <w:ind w:firstLine="630" w:firstLineChars="197"/>
        <w:rPr>
          <w:rFonts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bCs/>
          <w:sz w:val="32"/>
          <w:szCs w:val="32"/>
        </w:rPr>
        <w:t>年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镇财政预算草案</w:t>
      </w:r>
      <w:r>
        <w:rPr>
          <w:rFonts w:hint="eastAsia" w:ascii="仿宋_GB2312" w:hAnsi="仿宋" w:eastAsia="仿宋_GB2312"/>
          <w:bCs/>
          <w:sz w:val="32"/>
          <w:szCs w:val="32"/>
        </w:rPr>
        <w:t>分别安排如下：</w:t>
      </w:r>
    </w:p>
    <w:p>
      <w:pPr>
        <w:shd w:val="clear"/>
        <w:spacing w:line="600" w:lineRule="exact"/>
        <w:ind w:firstLine="630" w:firstLineChars="197"/>
        <w:rPr>
          <w:rFonts w:ascii="楷体_GB2312" w:hAnsi="仿宋" w:eastAsia="楷体_GB2312"/>
          <w:bCs/>
          <w:sz w:val="32"/>
          <w:szCs w:val="32"/>
        </w:rPr>
      </w:pPr>
      <w:r>
        <w:rPr>
          <w:rFonts w:hint="eastAsia" w:ascii="楷体_GB2312" w:hAnsi="仿宋" w:eastAsia="楷体_GB2312"/>
          <w:bCs/>
          <w:sz w:val="32"/>
          <w:szCs w:val="32"/>
        </w:rPr>
        <w:t>（一）一般公共预算安排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bCs/>
          <w:sz w:val="32"/>
          <w:szCs w:val="32"/>
        </w:rPr>
        <w:t>年一般公共预算，在收入上，充分考虑增收及经济下行因素，按实安排；在支出上，突出“保刚性”，对人员经费和社会保障支出，均作了足额安排；对部分运转性质的项目支出作了压缩。</w:t>
      </w:r>
    </w:p>
    <w:p>
      <w:pPr>
        <w:shd w:val="clear"/>
        <w:spacing w:line="620" w:lineRule="exact"/>
        <w:ind w:firstLine="640" w:firstLineChars="200"/>
        <w:rPr>
          <w:rFonts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全镇一般公共预算收入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安排5818</w:t>
      </w:r>
      <w:r>
        <w:rPr>
          <w:rFonts w:hint="eastAsia" w:ascii="仿宋_GB2312" w:hAnsi="仿宋" w:eastAsia="仿宋_GB2312"/>
          <w:bCs/>
          <w:sz w:val="32"/>
          <w:szCs w:val="32"/>
        </w:rPr>
        <w:t>万元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其中：</w:t>
      </w:r>
      <w:r>
        <w:rPr>
          <w:rFonts w:hint="eastAsia" w:ascii="仿宋_GB2312" w:hAnsi="仿宋" w:eastAsia="仿宋_GB2312"/>
          <w:bCs/>
          <w:sz w:val="32"/>
          <w:szCs w:val="32"/>
        </w:rPr>
        <w:t>税收收入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5775</w:t>
      </w:r>
      <w:r>
        <w:rPr>
          <w:rFonts w:hint="eastAsia" w:ascii="仿宋_GB2312" w:hAnsi="仿宋" w:eastAsia="仿宋_GB2312"/>
          <w:bCs/>
          <w:sz w:val="32"/>
          <w:szCs w:val="32"/>
        </w:rPr>
        <w:t>万元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</w:rPr>
        <w:t>非税收入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43</w:t>
      </w:r>
      <w:r>
        <w:rPr>
          <w:rFonts w:hint="eastAsia" w:ascii="仿宋_GB2312" w:hAnsi="仿宋" w:eastAsia="仿宋_GB2312"/>
          <w:bCs/>
          <w:sz w:val="32"/>
          <w:szCs w:val="32"/>
        </w:rPr>
        <w:t>万元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镇本级一般公共预算收入5818万元，加上转移性收入749万元后的收入总量为6567万元。</w:t>
      </w:r>
      <w:r>
        <w:rPr>
          <w:rFonts w:hint="eastAsia" w:ascii="仿宋_GB2312" w:hAnsi="仿宋" w:eastAsia="仿宋_GB2312"/>
          <w:bCs/>
          <w:sz w:val="32"/>
          <w:szCs w:val="32"/>
        </w:rPr>
        <w:t>镇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本级</w:t>
      </w:r>
      <w:r>
        <w:rPr>
          <w:rFonts w:hint="eastAsia" w:ascii="仿宋_GB2312" w:hAnsi="仿宋" w:eastAsia="仿宋_GB2312"/>
          <w:bCs/>
          <w:sz w:val="32"/>
          <w:szCs w:val="32"/>
        </w:rPr>
        <w:t>一般公共预算支出安排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5960</w:t>
      </w:r>
      <w:r>
        <w:rPr>
          <w:rFonts w:hint="eastAsia" w:ascii="仿宋_GB2312" w:hAnsi="仿宋" w:eastAsia="仿宋_GB2312"/>
          <w:bCs/>
          <w:sz w:val="32"/>
          <w:szCs w:val="32"/>
        </w:rPr>
        <w:t>万元，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加上转移性</w:t>
      </w:r>
      <w:r>
        <w:rPr>
          <w:rFonts w:hint="eastAsia" w:ascii="仿宋_GB2312" w:hAnsi="仿宋" w:eastAsia="仿宋_GB2312"/>
          <w:bCs/>
          <w:sz w:val="32"/>
          <w:szCs w:val="32"/>
        </w:rPr>
        <w:t>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607</w:t>
      </w:r>
      <w:r>
        <w:rPr>
          <w:rFonts w:hint="eastAsia" w:ascii="仿宋_GB2312" w:hAnsi="仿宋" w:eastAsia="仿宋_GB2312"/>
          <w:bCs/>
          <w:sz w:val="32"/>
          <w:szCs w:val="32"/>
        </w:rPr>
        <w:t>万元，支出总额为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6567</w:t>
      </w:r>
      <w:r>
        <w:rPr>
          <w:rFonts w:hint="eastAsia" w:ascii="仿宋_GB2312" w:hAnsi="仿宋" w:eastAsia="仿宋_GB2312"/>
          <w:bCs/>
          <w:sz w:val="32"/>
          <w:szCs w:val="32"/>
        </w:rPr>
        <w:t>万元，收支平衡。</w:t>
      </w:r>
    </w:p>
    <w:p>
      <w:pPr>
        <w:shd w:val="clear"/>
        <w:spacing w:line="620" w:lineRule="exact"/>
        <w:ind w:firstLine="640" w:firstLineChars="200"/>
        <w:rPr>
          <w:rFonts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全镇一般公共预算支出安排的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5960</w:t>
      </w:r>
      <w:r>
        <w:rPr>
          <w:rFonts w:hint="eastAsia" w:ascii="仿宋_GB2312" w:hAnsi="仿宋" w:eastAsia="仿宋_GB2312"/>
          <w:bCs/>
          <w:sz w:val="32"/>
          <w:szCs w:val="32"/>
        </w:rPr>
        <w:t>万元，按功能分，具体安排为：（1）一般公共服务支出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1317</w:t>
      </w:r>
      <w:r>
        <w:rPr>
          <w:rFonts w:hint="eastAsia" w:ascii="仿宋_GB2312" w:hAnsi="仿宋" w:eastAsia="仿宋_GB2312"/>
          <w:bCs/>
          <w:sz w:val="32"/>
          <w:szCs w:val="32"/>
        </w:rPr>
        <w:t>万元；（2）教育支出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144</w:t>
      </w:r>
      <w:r>
        <w:rPr>
          <w:rFonts w:hint="eastAsia" w:ascii="仿宋_GB2312" w:hAnsi="仿宋" w:eastAsia="仿宋_GB2312"/>
          <w:bCs/>
          <w:sz w:val="32"/>
          <w:szCs w:val="32"/>
        </w:rPr>
        <w:t>万元；（3）文化体育与传媒支出5万元；（4）社会保障和就业支出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672</w:t>
      </w:r>
      <w:r>
        <w:rPr>
          <w:rFonts w:hint="eastAsia" w:ascii="仿宋_GB2312" w:hAnsi="仿宋" w:eastAsia="仿宋_GB2312"/>
          <w:bCs/>
          <w:sz w:val="32"/>
          <w:szCs w:val="32"/>
        </w:rPr>
        <w:t>万元；（5）卫生健康支出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165</w:t>
      </w:r>
      <w:r>
        <w:rPr>
          <w:rFonts w:hint="eastAsia" w:ascii="仿宋_GB2312" w:hAnsi="仿宋" w:eastAsia="仿宋_GB2312"/>
          <w:bCs/>
          <w:sz w:val="32"/>
          <w:szCs w:val="32"/>
        </w:rPr>
        <w:t>万元；（6）城乡社区支出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100</w:t>
      </w:r>
      <w:r>
        <w:rPr>
          <w:rFonts w:hint="eastAsia" w:ascii="仿宋_GB2312" w:hAnsi="仿宋" w:eastAsia="仿宋_GB2312"/>
          <w:bCs/>
          <w:sz w:val="32"/>
          <w:szCs w:val="32"/>
        </w:rPr>
        <w:t>万元；（7）农林水支出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854</w:t>
      </w:r>
      <w:r>
        <w:rPr>
          <w:rFonts w:hint="eastAsia" w:ascii="仿宋_GB2312" w:hAnsi="仿宋" w:eastAsia="仿宋_GB2312"/>
          <w:bCs/>
          <w:sz w:val="32"/>
          <w:szCs w:val="32"/>
        </w:rPr>
        <w:t>万元；（8）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交通运输支出20万元；（9）</w:t>
      </w:r>
      <w:r>
        <w:rPr>
          <w:rFonts w:hint="eastAsia" w:ascii="仿宋_GB2312" w:hAnsi="仿宋" w:eastAsia="仿宋_GB2312"/>
          <w:bCs/>
          <w:sz w:val="32"/>
          <w:szCs w:val="32"/>
        </w:rPr>
        <w:t>资源勘探信息等支出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2366</w:t>
      </w:r>
      <w:r>
        <w:rPr>
          <w:rFonts w:hint="eastAsia" w:ascii="仿宋_GB2312" w:hAnsi="仿宋" w:eastAsia="仿宋_GB2312"/>
          <w:bCs/>
          <w:sz w:val="32"/>
          <w:szCs w:val="32"/>
        </w:rPr>
        <w:t>万元；（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10</w:t>
      </w:r>
      <w:r>
        <w:rPr>
          <w:rFonts w:hint="eastAsia" w:ascii="仿宋_GB2312" w:hAnsi="仿宋" w:eastAsia="仿宋_GB2312"/>
          <w:bCs/>
          <w:sz w:val="32"/>
          <w:szCs w:val="32"/>
        </w:rPr>
        <w:t>）住房保障支出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147</w:t>
      </w:r>
      <w:r>
        <w:rPr>
          <w:rFonts w:hint="eastAsia" w:ascii="仿宋_GB2312" w:hAnsi="仿宋" w:eastAsia="仿宋_GB2312"/>
          <w:bCs/>
          <w:sz w:val="32"/>
          <w:szCs w:val="32"/>
        </w:rPr>
        <w:t>万元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；</w:t>
      </w:r>
      <w:r>
        <w:rPr>
          <w:rFonts w:hint="eastAsia" w:ascii="仿宋_GB2312" w:hAnsi="仿宋" w:eastAsia="仿宋_GB2312"/>
          <w:bCs/>
          <w:sz w:val="32"/>
          <w:szCs w:val="32"/>
        </w:rPr>
        <w:t>（1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</w:t>
      </w:r>
      <w:r>
        <w:rPr>
          <w:rFonts w:hint="eastAsia" w:ascii="仿宋_GB2312" w:hAnsi="仿宋" w:eastAsia="仿宋_GB2312"/>
          <w:bCs/>
          <w:sz w:val="32"/>
          <w:szCs w:val="32"/>
        </w:rPr>
        <w:t>）预备费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170</w:t>
      </w:r>
      <w:r>
        <w:rPr>
          <w:rFonts w:hint="eastAsia" w:ascii="仿宋_GB2312" w:hAnsi="仿宋" w:eastAsia="仿宋_GB2312"/>
          <w:bCs/>
          <w:sz w:val="32"/>
          <w:szCs w:val="32"/>
        </w:rPr>
        <w:t>万元。</w:t>
      </w:r>
    </w:p>
    <w:p>
      <w:pPr>
        <w:shd w:val="clear"/>
        <w:spacing w:line="600" w:lineRule="exact"/>
        <w:ind w:firstLine="630" w:firstLineChars="197"/>
        <w:rPr>
          <w:rFonts w:ascii="楷体_GB2312" w:hAnsi="仿宋" w:eastAsia="楷体_GB2312"/>
          <w:bCs/>
          <w:sz w:val="32"/>
          <w:szCs w:val="32"/>
        </w:rPr>
      </w:pPr>
      <w:r>
        <w:rPr>
          <w:rFonts w:hint="eastAsia" w:ascii="楷体_GB2312" w:hAnsi="仿宋" w:eastAsia="楷体_GB2312"/>
          <w:bCs/>
          <w:sz w:val="32"/>
          <w:szCs w:val="32"/>
        </w:rPr>
        <w:t>（二）政府性基金预算安排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政府性基金收入为市级收入，我镇没有该项收入，因而不具备编此预算条件，但为使预算完整，也将政府性基金预算加以提出，并将收支安排为“0”。</w:t>
      </w:r>
    </w:p>
    <w:p>
      <w:pPr>
        <w:shd w:val="clear"/>
        <w:spacing w:line="600" w:lineRule="exact"/>
        <w:ind w:firstLine="630" w:firstLineChars="197"/>
        <w:rPr>
          <w:rFonts w:ascii="楷体_GB2312" w:hAnsi="仿宋" w:eastAsia="楷体_GB2312"/>
          <w:bCs/>
          <w:sz w:val="32"/>
          <w:szCs w:val="32"/>
        </w:rPr>
      </w:pPr>
      <w:r>
        <w:rPr>
          <w:rFonts w:hint="eastAsia" w:ascii="楷体_GB2312" w:hAnsi="仿宋" w:eastAsia="楷体_GB2312"/>
          <w:bCs/>
          <w:sz w:val="32"/>
          <w:szCs w:val="32"/>
        </w:rPr>
        <w:t>（三）社会保险基金预算安排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按照统筹级次，基本养老保险、“新农合”由市级统筹，所以未安排社会保险基金预算，但为使预算完整，也将社会保险基金预算加以提出，并将收支安排为“0”。</w:t>
      </w:r>
    </w:p>
    <w:p>
      <w:pPr>
        <w:shd w:val="clear"/>
        <w:spacing w:line="600" w:lineRule="exact"/>
        <w:ind w:firstLine="630" w:firstLineChars="197"/>
        <w:rPr>
          <w:rFonts w:hint="eastAsia" w:ascii="楷体_GB2312" w:hAnsi="仿宋" w:eastAsia="楷体_GB2312"/>
          <w:bCs/>
          <w:sz w:val="32"/>
          <w:szCs w:val="32"/>
          <w:lang w:val="en-US" w:eastAsia="zh-CN"/>
        </w:rPr>
      </w:pPr>
      <w:r>
        <w:rPr>
          <w:rFonts w:hint="eastAsia" w:ascii="楷体_GB2312" w:hAnsi="仿宋" w:eastAsia="楷体_GB2312"/>
          <w:bCs/>
          <w:sz w:val="32"/>
          <w:szCs w:val="32"/>
        </w:rPr>
        <w:t>（</w:t>
      </w:r>
      <w:r>
        <w:rPr>
          <w:rFonts w:hint="eastAsia" w:ascii="楷体_GB2312" w:hAnsi="仿宋" w:eastAsia="楷体_GB2312"/>
          <w:bCs/>
          <w:sz w:val="32"/>
          <w:szCs w:val="32"/>
          <w:lang w:eastAsia="zh-CN"/>
        </w:rPr>
        <w:t>四</w:t>
      </w:r>
      <w:r>
        <w:rPr>
          <w:rFonts w:hint="eastAsia" w:ascii="楷体_GB2312" w:hAnsi="仿宋" w:eastAsia="楷体_GB2312"/>
          <w:bCs/>
          <w:sz w:val="32"/>
          <w:szCs w:val="32"/>
        </w:rPr>
        <w:t>）</w:t>
      </w:r>
      <w:r>
        <w:rPr>
          <w:rFonts w:hint="eastAsia" w:ascii="楷体_GB2312" w:hAnsi="仿宋" w:eastAsia="楷体_GB2312"/>
          <w:bCs/>
          <w:sz w:val="32"/>
          <w:szCs w:val="32"/>
          <w:lang w:eastAsia="zh-CN"/>
        </w:rPr>
        <w:t>国有资本经营</w:t>
      </w:r>
      <w:r>
        <w:rPr>
          <w:rFonts w:hint="eastAsia" w:ascii="楷体_GB2312" w:hAnsi="仿宋" w:eastAsia="楷体_GB2312"/>
          <w:bCs/>
          <w:sz w:val="32"/>
          <w:szCs w:val="32"/>
        </w:rPr>
        <w:t>预算安排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我镇无国有企业，因而不具备编此预算条件，所以未安排国有资本基金预算，但为使预算完整，也将国有资本预算加以提出，并将收支安排为“0”。</w:t>
      </w:r>
    </w:p>
    <w:p>
      <w:pPr>
        <w:shd w:val="clear"/>
        <w:spacing w:line="600" w:lineRule="exact"/>
        <w:ind w:firstLine="630" w:firstLineChars="197"/>
        <w:rPr>
          <w:rFonts w:hint="eastAsia" w:ascii="仿宋_GB2312" w:hAnsi="仿宋" w:eastAsia="仿宋_GB2312"/>
          <w:bCs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为确保圆满完成2023年的预算任务，我们将强化统筹、聚集重点、厉行节约、优化结构，切实提高财政资金使用效率，精细化管理水平，防范和化解金融风险，为推动我镇高质量发展提供坚实保障。一</w:t>
      </w:r>
      <w:r>
        <w:rPr>
          <w:rFonts w:hint="eastAsia" w:ascii="仿宋_GB2312" w:hAnsi="仿宋" w:eastAsia="仿宋_GB2312"/>
          <w:bCs/>
          <w:sz w:val="32"/>
          <w:szCs w:val="32"/>
        </w:rPr>
        <w:t>是收入求增长。按照做实收入要求，培育和寻求新的财源增长点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</w:rPr>
        <w:t>看住存量，狠抓增量，统筹整合财力资源，增加政府可用财力。二是支出求保障。坚持党政机关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“</w:t>
      </w:r>
      <w:r>
        <w:rPr>
          <w:rFonts w:hint="eastAsia" w:ascii="仿宋_GB2312" w:hAnsi="仿宋" w:eastAsia="仿宋_GB2312"/>
          <w:bCs/>
          <w:sz w:val="32"/>
          <w:szCs w:val="32"/>
        </w:rPr>
        <w:t>过紧日子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”</w:t>
      </w:r>
      <w:r>
        <w:rPr>
          <w:rFonts w:hint="eastAsia" w:ascii="仿宋_GB2312" w:hAnsi="仿宋" w:eastAsia="仿宋_GB2312"/>
          <w:bCs/>
          <w:sz w:val="32"/>
          <w:szCs w:val="32"/>
        </w:rPr>
        <w:t>，建设节约型机关，动态调整和优化支出结构，把有限的资金用在刀刃上；依法强化预算约束力，不断完善和强化建设投资等项目审核管理，大力控制和压缩非生产性开支，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严格控制</w:t>
      </w:r>
      <w:r>
        <w:rPr>
          <w:rFonts w:hint="eastAsia" w:ascii="仿宋_GB2312" w:hAnsi="仿宋" w:eastAsia="仿宋_GB2312"/>
          <w:bCs/>
          <w:sz w:val="32"/>
          <w:szCs w:val="32"/>
        </w:rPr>
        <w:t>“三公”经费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支出</w:t>
      </w:r>
      <w:r>
        <w:rPr>
          <w:rFonts w:hint="eastAsia" w:ascii="仿宋_GB2312" w:hAnsi="仿宋" w:eastAsia="仿宋_GB2312"/>
          <w:bCs/>
          <w:sz w:val="32"/>
          <w:szCs w:val="32"/>
        </w:rPr>
        <w:t>；保基本兜底线，切实保障和改善民生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</w:rPr>
        <w:t>积极筹措调度资金，确保工资发放和政权运转，确保发展、改革和稳定的急重需要。三是管理求提升。深化预算管理改革，切实完善基本支出预算定额体系，提高预算完整性，逐步细化预算公开内容，自觉接受社会监督；不断创新财政各项支出管理制度，强化财政监督职能，扎实、扎密、扎严财政制度“笼子”；深化国库集中支付改革，严格执行财务标准和审批制度，切实提升财政财务管理效能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；</w:t>
      </w:r>
      <w:r>
        <w:rPr>
          <w:rFonts w:hint="eastAsia" w:ascii="仿宋_GB2312" w:hAnsi="仿宋" w:eastAsia="仿宋_GB2312"/>
          <w:bCs/>
          <w:sz w:val="32"/>
          <w:szCs w:val="32"/>
        </w:rPr>
        <w:t>完善强农惠民管理，优化财政综合服务保障。</w:t>
      </w:r>
    </w:p>
    <w:p>
      <w:pPr>
        <w:shd w:val="clear"/>
        <w:spacing w:line="600" w:lineRule="exact"/>
        <w:ind w:firstLine="630" w:firstLineChars="197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仿宋" w:eastAsia="仿宋_GB2312"/>
          <w:bCs/>
          <w:sz w:val="32"/>
          <w:szCs w:val="32"/>
        </w:rPr>
        <w:t>各位代表</w:t>
      </w:r>
      <w:r>
        <w:rPr>
          <w:rFonts w:hint="eastAsia" w:ascii="仿宋_GB2312" w:hAnsi="仿宋" w:eastAsia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新的一年财政工作面临的压力挑战更加艰巨，责任更加重大</w:t>
      </w:r>
      <w:r>
        <w:rPr>
          <w:rFonts w:hint="eastAsia" w:ascii="仿宋_GB2312" w:hAnsi="仿宋" w:eastAsia="仿宋_GB2312"/>
          <w:bCs/>
          <w:sz w:val="32"/>
          <w:szCs w:val="32"/>
        </w:rPr>
        <w:t>。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我们将</w:t>
      </w:r>
      <w:r>
        <w:rPr>
          <w:rFonts w:hint="eastAsia" w:ascii="仿宋_GB2312" w:hAnsi="仿宋" w:eastAsia="仿宋_GB2312"/>
          <w:bCs/>
          <w:sz w:val="32"/>
          <w:szCs w:val="32"/>
        </w:rPr>
        <w:t>以党的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二十</w:t>
      </w:r>
      <w:r>
        <w:rPr>
          <w:rFonts w:hint="eastAsia" w:ascii="仿宋_GB2312" w:hAnsi="仿宋" w:eastAsia="仿宋_GB2312"/>
          <w:bCs/>
          <w:sz w:val="32"/>
          <w:szCs w:val="32"/>
        </w:rPr>
        <w:t>大精神为指针，</w:t>
      </w:r>
      <w:r>
        <w:rPr>
          <w:rFonts w:hint="eastAsia" w:ascii="仿宋_GB2312" w:hAnsi="仿宋" w:eastAsia="仿宋_GB2312"/>
          <w:bCs/>
          <w:sz w:val="32"/>
          <w:szCs w:val="32"/>
          <w:lang w:val="en-US" w:eastAsia="zh-CN"/>
        </w:rPr>
        <w:t>听从</w:t>
      </w:r>
      <w:r>
        <w:rPr>
          <w:rFonts w:hint="eastAsia" w:ascii="仿宋_GB2312" w:hAnsi="仿宋" w:eastAsia="仿宋_GB2312"/>
          <w:bCs/>
          <w:sz w:val="32"/>
          <w:szCs w:val="32"/>
        </w:rPr>
        <w:t xml:space="preserve">镇党委的正确领导，自觉接受人大的监督，虚心听取意见建议，攻坚克难，砥砺奋进，加大招商引资力度，扩大税源，增加财政收入，弥补支出逆差不足，扎实做好财政各项工作，确保实现全年预算目标，为我镇经济增长做出应有的贡献。 </w:t>
      </w:r>
      <w:bookmarkStart w:id="0" w:name="_GoBack"/>
      <w:bookmarkEnd w:id="0"/>
      <w:r>
        <w:rPr>
          <w:rFonts w:hint="eastAsia" w:ascii="仿宋_GB2312" w:hAnsi="仿宋" w:eastAsia="仿宋_GB2312"/>
          <w:bCs/>
          <w:sz w:val="32"/>
          <w:szCs w:val="32"/>
        </w:rPr>
        <w:t xml:space="preserve">   </w:t>
      </w:r>
      <w:r>
        <w:rPr>
          <w:rFonts w:hint="eastAsia" w:ascii="仿宋_GB2312" w:hAnsi="楷体" w:eastAsia="仿宋_GB2312"/>
          <w:sz w:val="32"/>
          <w:szCs w:val="32"/>
        </w:rPr>
        <w:t xml:space="preserve">               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  <w:sz w:val="24"/>
        <w:szCs w:val="24"/>
      </w:rPr>
    </w:pPr>
    <w:r>
      <w:rPr>
        <w:sz w:val="24"/>
        <w:szCs w:val="24"/>
      </w:rPr>
      <w:fldChar w:fldCharType="begin"/>
    </w:r>
    <w:r>
      <w:rPr>
        <w:rStyle w:val="7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7"/>
        <w:sz w:val="24"/>
        <w:szCs w:val="24"/>
      </w:rPr>
      <w:t>- 2 -</w:t>
    </w:r>
    <w:r>
      <w:rPr>
        <w:sz w:val="24"/>
        <w:szCs w:val="24"/>
      </w:rPr>
      <w:fldChar w:fldCharType="end"/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DNlNGZkOTZhMDNmZDc2YjU4MTdlYTJmNjhjODFmYTcifQ=="/>
  </w:docVars>
  <w:rsids>
    <w:rsidRoot w:val="00E74FFE"/>
    <w:rsid w:val="000001F2"/>
    <w:rsid w:val="00010A77"/>
    <w:rsid w:val="0001467A"/>
    <w:rsid w:val="0001515E"/>
    <w:rsid w:val="000206C7"/>
    <w:rsid w:val="00021F86"/>
    <w:rsid w:val="00023AA6"/>
    <w:rsid w:val="00027A64"/>
    <w:rsid w:val="00030192"/>
    <w:rsid w:val="00033F1A"/>
    <w:rsid w:val="00037BDF"/>
    <w:rsid w:val="00042951"/>
    <w:rsid w:val="000435E7"/>
    <w:rsid w:val="00046BB6"/>
    <w:rsid w:val="00047F2B"/>
    <w:rsid w:val="00050044"/>
    <w:rsid w:val="00067782"/>
    <w:rsid w:val="00067FD6"/>
    <w:rsid w:val="00074008"/>
    <w:rsid w:val="00091983"/>
    <w:rsid w:val="00096D74"/>
    <w:rsid w:val="000A074E"/>
    <w:rsid w:val="000A0F0B"/>
    <w:rsid w:val="000A44F5"/>
    <w:rsid w:val="000A5BA8"/>
    <w:rsid w:val="000A5E3A"/>
    <w:rsid w:val="000B123C"/>
    <w:rsid w:val="000C46C9"/>
    <w:rsid w:val="000C5D81"/>
    <w:rsid w:val="000E50F3"/>
    <w:rsid w:val="000E5601"/>
    <w:rsid w:val="000E573B"/>
    <w:rsid w:val="000F0CCC"/>
    <w:rsid w:val="000F3D7C"/>
    <w:rsid w:val="0011388C"/>
    <w:rsid w:val="00122675"/>
    <w:rsid w:val="00122EE2"/>
    <w:rsid w:val="00123B49"/>
    <w:rsid w:val="00127618"/>
    <w:rsid w:val="00150662"/>
    <w:rsid w:val="001702E7"/>
    <w:rsid w:val="00180ACE"/>
    <w:rsid w:val="00191566"/>
    <w:rsid w:val="001A194A"/>
    <w:rsid w:val="001A1DBB"/>
    <w:rsid w:val="001A556B"/>
    <w:rsid w:val="001B1B7D"/>
    <w:rsid w:val="001B39C0"/>
    <w:rsid w:val="001B3F01"/>
    <w:rsid w:val="001C1634"/>
    <w:rsid w:val="001D3F9F"/>
    <w:rsid w:val="001E5CC3"/>
    <w:rsid w:val="001F46F6"/>
    <w:rsid w:val="00210243"/>
    <w:rsid w:val="00210D44"/>
    <w:rsid w:val="00213239"/>
    <w:rsid w:val="0021779A"/>
    <w:rsid w:val="0022259C"/>
    <w:rsid w:val="0022351B"/>
    <w:rsid w:val="00225FF9"/>
    <w:rsid w:val="00233697"/>
    <w:rsid w:val="0023573E"/>
    <w:rsid w:val="00240ACC"/>
    <w:rsid w:val="00243DDC"/>
    <w:rsid w:val="00244C6A"/>
    <w:rsid w:val="002631BC"/>
    <w:rsid w:val="00272A11"/>
    <w:rsid w:val="002772BB"/>
    <w:rsid w:val="00284AC5"/>
    <w:rsid w:val="002A30DA"/>
    <w:rsid w:val="002A5D94"/>
    <w:rsid w:val="002A5E97"/>
    <w:rsid w:val="002A6FC9"/>
    <w:rsid w:val="002B23BF"/>
    <w:rsid w:val="002B4B66"/>
    <w:rsid w:val="002B6D1C"/>
    <w:rsid w:val="002B7664"/>
    <w:rsid w:val="002C1FA7"/>
    <w:rsid w:val="002C7A1E"/>
    <w:rsid w:val="002D0D42"/>
    <w:rsid w:val="002D3729"/>
    <w:rsid w:val="0030060E"/>
    <w:rsid w:val="00303D04"/>
    <w:rsid w:val="00305150"/>
    <w:rsid w:val="00306F13"/>
    <w:rsid w:val="00307254"/>
    <w:rsid w:val="00307AA8"/>
    <w:rsid w:val="00312C71"/>
    <w:rsid w:val="00317BBD"/>
    <w:rsid w:val="003218FA"/>
    <w:rsid w:val="00324895"/>
    <w:rsid w:val="00332FE3"/>
    <w:rsid w:val="0033569D"/>
    <w:rsid w:val="003407F5"/>
    <w:rsid w:val="00354CD1"/>
    <w:rsid w:val="0035504C"/>
    <w:rsid w:val="00360692"/>
    <w:rsid w:val="00365040"/>
    <w:rsid w:val="00373483"/>
    <w:rsid w:val="00381616"/>
    <w:rsid w:val="003826B7"/>
    <w:rsid w:val="00386A2E"/>
    <w:rsid w:val="00393B13"/>
    <w:rsid w:val="003950B9"/>
    <w:rsid w:val="003965A8"/>
    <w:rsid w:val="003A6A0B"/>
    <w:rsid w:val="003B674B"/>
    <w:rsid w:val="003B701A"/>
    <w:rsid w:val="003C59DA"/>
    <w:rsid w:val="003E0AF4"/>
    <w:rsid w:val="003E4B71"/>
    <w:rsid w:val="00400D20"/>
    <w:rsid w:val="00400D37"/>
    <w:rsid w:val="00411DF0"/>
    <w:rsid w:val="004125D3"/>
    <w:rsid w:val="00422062"/>
    <w:rsid w:val="00423634"/>
    <w:rsid w:val="00424646"/>
    <w:rsid w:val="004507E5"/>
    <w:rsid w:val="00453D97"/>
    <w:rsid w:val="00453F0C"/>
    <w:rsid w:val="004566C1"/>
    <w:rsid w:val="00456B98"/>
    <w:rsid w:val="00457BEE"/>
    <w:rsid w:val="00475E31"/>
    <w:rsid w:val="00483D79"/>
    <w:rsid w:val="00490E50"/>
    <w:rsid w:val="004A1040"/>
    <w:rsid w:val="004A71E2"/>
    <w:rsid w:val="004A775B"/>
    <w:rsid w:val="004A7D5E"/>
    <w:rsid w:val="004B1041"/>
    <w:rsid w:val="004C394D"/>
    <w:rsid w:val="004D6C93"/>
    <w:rsid w:val="004E07F0"/>
    <w:rsid w:val="004F0369"/>
    <w:rsid w:val="004F0A84"/>
    <w:rsid w:val="004F3FBA"/>
    <w:rsid w:val="00503D64"/>
    <w:rsid w:val="00505C19"/>
    <w:rsid w:val="00516C8B"/>
    <w:rsid w:val="005312DE"/>
    <w:rsid w:val="00543312"/>
    <w:rsid w:val="0054505B"/>
    <w:rsid w:val="00553E7B"/>
    <w:rsid w:val="005627AC"/>
    <w:rsid w:val="00565FE6"/>
    <w:rsid w:val="00570EDB"/>
    <w:rsid w:val="00582E53"/>
    <w:rsid w:val="0059233B"/>
    <w:rsid w:val="00593996"/>
    <w:rsid w:val="005A1D6E"/>
    <w:rsid w:val="005A41BA"/>
    <w:rsid w:val="005B1506"/>
    <w:rsid w:val="005B7FB4"/>
    <w:rsid w:val="005D2E73"/>
    <w:rsid w:val="005D3988"/>
    <w:rsid w:val="005D5836"/>
    <w:rsid w:val="005F248A"/>
    <w:rsid w:val="00603B0C"/>
    <w:rsid w:val="0061103E"/>
    <w:rsid w:val="00621F17"/>
    <w:rsid w:val="00622CBF"/>
    <w:rsid w:val="00626AA4"/>
    <w:rsid w:val="00636A7A"/>
    <w:rsid w:val="006449BD"/>
    <w:rsid w:val="00653BA0"/>
    <w:rsid w:val="00677A66"/>
    <w:rsid w:val="0068408C"/>
    <w:rsid w:val="006A453A"/>
    <w:rsid w:val="006A6979"/>
    <w:rsid w:val="006B183B"/>
    <w:rsid w:val="006B70E5"/>
    <w:rsid w:val="006D3035"/>
    <w:rsid w:val="006D468D"/>
    <w:rsid w:val="006D52F1"/>
    <w:rsid w:val="006E38DB"/>
    <w:rsid w:val="006E479B"/>
    <w:rsid w:val="006F0EA7"/>
    <w:rsid w:val="006F29A3"/>
    <w:rsid w:val="006F4D32"/>
    <w:rsid w:val="0071145F"/>
    <w:rsid w:val="00724EF3"/>
    <w:rsid w:val="00733B92"/>
    <w:rsid w:val="007360E4"/>
    <w:rsid w:val="00751FA1"/>
    <w:rsid w:val="00754BBD"/>
    <w:rsid w:val="00761D32"/>
    <w:rsid w:val="00772A08"/>
    <w:rsid w:val="00792B3B"/>
    <w:rsid w:val="00793079"/>
    <w:rsid w:val="007A1A42"/>
    <w:rsid w:val="007A2109"/>
    <w:rsid w:val="007A447F"/>
    <w:rsid w:val="007D55A8"/>
    <w:rsid w:val="007D67B9"/>
    <w:rsid w:val="007E0F99"/>
    <w:rsid w:val="007E249D"/>
    <w:rsid w:val="007E2ECF"/>
    <w:rsid w:val="007F23F3"/>
    <w:rsid w:val="007F5E3B"/>
    <w:rsid w:val="007F6D1D"/>
    <w:rsid w:val="007F7D35"/>
    <w:rsid w:val="0080404D"/>
    <w:rsid w:val="00824F1D"/>
    <w:rsid w:val="0083094D"/>
    <w:rsid w:val="0083687C"/>
    <w:rsid w:val="00836B2D"/>
    <w:rsid w:val="00836F98"/>
    <w:rsid w:val="00837497"/>
    <w:rsid w:val="00840AED"/>
    <w:rsid w:val="00844323"/>
    <w:rsid w:val="008525B9"/>
    <w:rsid w:val="00860CB8"/>
    <w:rsid w:val="008668B0"/>
    <w:rsid w:val="00870A2D"/>
    <w:rsid w:val="008727F5"/>
    <w:rsid w:val="00874403"/>
    <w:rsid w:val="0087606B"/>
    <w:rsid w:val="00876990"/>
    <w:rsid w:val="0088047C"/>
    <w:rsid w:val="00886FF6"/>
    <w:rsid w:val="008916B5"/>
    <w:rsid w:val="008950D2"/>
    <w:rsid w:val="008A451B"/>
    <w:rsid w:val="008C2CDF"/>
    <w:rsid w:val="008C53A1"/>
    <w:rsid w:val="008C6DD4"/>
    <w:rsid w:val="008D520C"/>
    <w:rsid w:val="008D557C"/>
    <w:rsid w:val="008D7F43"/>
    <w:rsid w:val="008F650E"/>
    <w:rsid w:val="0091388F"/>
    <w:rsid w:val="00913ED3"/>
    <w:rsid w:val="00924872"/>
    <w:rsid w:val="009368D6"/>
    <w:rsid w:val="00944621"/>
    <w:rsid w:val="00945DC6"/>
    <w:rsid w:val="0095002B"/>
    <w:rsid w:val="00950207"/>
    <w:rsid w:val="00951A3D"/>
    <w:rsid w:val="00954235"/>
    <w:rsid w:val="00957B59"/>
    <w:rsid w:val="00957E5F"/>
    <w:rsid w:val="00960F94"/>
    <w:rsid w:val="00964558"/>
    <w:rsid w:val="00967B01"/>
    <w:rsid w:val="00977026"/>
    <w:rsid w:val="009916A6"/>
    <w:rsid w:val="009951DB"/>
    <w:rsid w:val="009A169C"/>
    <w:rsid w:val="009B5458"/>
    <w:rsid w:val="009B72D0"/>
    <w:rsid w:val="009C0895"/>
    <w:rsid w:val="009C20E0"/>
    <w:rsid w:val="009C3854"/>
    <w:rsid w:val="009C4500"/>
    <w:rsid w:val="009D0F53"/>
    <w:rsid w:val="009D7C63"/>
    <w:rsid w:val="009E34C4"/>
    <w:rsid w:val="009E55A5"/>
    <w:rsid w:val="009E7EE3"/>
    <w:rsid w:val="009F3402"/>
    <w:rsid w:val="00A051E5"/>
    <w:rsid w:val="00A06C8C"/>
    <w:rsid w:val="00A240A1"/>
    <w:rsid w:val="00A27650"/>
    <w:rsid w:val="00A44636"/>
    <w:rsid w:val="00A4491D"/>
    <w:rsid w:val="00A56CF9"/>
    <w:rsid w:val="00A61E98"/>
    <w:rsid w:val="00A646AF"/>
    <w:rsid w:val="00A64F83"/>
    <w:rsid w:val="00A67E65"/>
    <w:rsid w:val="00A72CFC"/>
    <w:rsid w:val="00A7397D"/>
    <w:rsid w:val="00A813E8"/>
    <w:rsid w:val="00A83332"/>
    <w:rsid w:val="00A861A9"/>
    <w:rsid w:val="00A925BA"/>
    <w:rsid w:val="00A938E5"/>
    <w:rsid w:val="00AA0792"/>
    <w:rsid w:val="00AB0B09"/>
    <w:rsid w:val="00AB25BB"/>
    <w:rsid w:val="00AD1AB9"/>
    <w:rsid w:val="00AD75CB"/>
    <w:rsid w:val="00AE4A11"/>
    <w:rsid w:val="00AF11BB"/>
    <w:rsid w:val="00B02D8A"/>
    <w:rsid w:val="00B05CE2"/>
    <w:rsid w:val="00B075C1"/>
    <w:rsid w:val="00B1009C"/>
    <w:rsid w:val="00B12E0B"/>
    <w:rsid w:val="00B21658"/>
    <w:rsid w:val="00B2459C"/>
    <w:rsid w:val="00B24C5C"/>
    <w:rsid w:val="00B34C57"/>
    <w:rsid w:val="00B44DFA"/>
    <w:rsid w:val="00B51ADC"/>
    <w:rsid w:val="00B54F58"/>
    <w:rsid w:val="00B57036"/>
    <w:rsid w:val="00B661FB"/>
    <w:rsid w:val="00B73360"/>
    <w:rsid w:val="00B74BD4"/>
    <w:rsid w:val="00B81D97"/>
    <w:rsid w:val="00B82164"/>
    <w:rsid w:val="00BA08E8"/>
    <w:rsid w:val="00BA0BDF"/>
    <w:rsid w:val="00BA311C"/>
    <w:rsid w:val="00BA41C1"/>
    <w:rsid w:val="00BA65F0"/>
    <w:rsid w:val="00BD02E0"/>
    <w:rsid w:val="00BD032B"/>
    <w:rsid w:val="00BD4368"/>
    <w:rsid w:val="00BE3565"/>
    <w:rsid w:val="00C00FEF"/>
    <w:rsid w:val="00C023D4"/>
    <w:rsid w:val="00C06387"/>
    <w:rsid w:val="00C10BE1"/>
    <w:rsid w:val="00C1669D"/>
    <w:rsid w:val="00C2226C"/>
    <w:rsid w:val="00C2423B"/>
    <w:rsid w:val="00C30F9F"/>
    <w:rsid w:val="00C31612"/>
    <w:rsid w:val="00C50991"/>
    <w:rsid w:val="00C53597"/>
    <w:rsid w:val="00C56CF4"/>
    <w:rsid w:val="00C62528"/>
    <w:rsid w:val="00C73E68"/>
    <w:rsid w:val="00C80387"/>
    <w:rsid w:val="00C97BCE"/>
    <w:rsid w:val="00CA19EE"/>
    <w:rsid w:val="00CA33FF"/>
    <w:rsid w:val="00CB0273"/>
    <w:rsid w:val="00CB1EC8"/>
    <w:rsid w:val="00CB427E"/>
    <w:rsid w:val="00CC4ADF"/>
    <w:rsid w:val="00CC57D0"/>
    <w:rsid w:val="00CC724F"/>
    <w:rsid w:val="00CD1694"/>
    <w:rsid w:val="00CD2474"/>
    <w:rsid w:val="00CD319B"/>
    <w:rsid w:val="00CE3B4B"/>
    <w:rsid w:val="00CE4D3B"/>
    <w:rsid w:val="00CE5645"/>
    <w:rsid w:val="00CE6D51"/>
    <w:rsid w:val="00CF1AFE"/>
    <w:rsid w:val="00CF2830"/>
    <w:rsid w:val="00CF6F9C"/>
    <w:rsid w:val="00D10375"/>
    <w:rsid w:val="00D115A0"/>
    <w:rsid w:val="00D16F85"/>
    <w:rsid w:val="00D247E7"/>
    <w:rsid w:val="00D2544E"/>
    <w:rsid w:val="00D2663E"/>
    <w:rsid w:val="00D30E36"/>
    <w:rsid w:val="00D32AB7"/>
    <w:rsid w:val="00D40B79"/>
    <w:rsid w:val="00D40E4F"/>
    <w:rsid w:val="00D53FE6"/>
    <w:rsid w:val="00D557A6"/>
    <w:rsid w:val="00D56C72"/>
    <w:rsid w:val="00D6035D"/>
    <w:rsid w:val="00D62AC8"/>
    <w:rsid w:val="00D6617C"/>
    <w:rsid w:val="00D83473"/>
    <w:rsid w:val="00D9036F"/>
    <w:rsid w:val="00D909DB"/>
    <w:rsid w:val="00D92055"/>
    <w:rsid w:val="00D96BAF"/>
    <w:rsid w:val="00D978B4"/>
    <w:rsid w:val="00DA7217"/>
    <w:rsid w:val="00DA7832"/>
    <w:rsid w:val="00DB1DAD"/>
    <w:rsid w:val="00DB2B1D"/>
    <w:rsid w:val="00DD6C0C"/>
    <w:rsid w:val="00DE07B1"/>
    <w:rsid w:val="00DE487B"/>
    <w:rsid w:val="00DE5D5B"/>
    <w:rsid w:val="00DF257C"/>
    <w:rsid w:val="00DF27B0"/>
    <w:rsid w:val="00E02DE7"/>
    <w:rsid w:val="00E04A6D"/>
    <w:rsid w:val="00E24866"/>
    <w:rsid w:val="00E26DC4"/>
    <w:rsid w:val="00E31126"/>
    <w:rsid w:val="00E3352C"/>
    <w:rsid w:val="00E35067"/>
    <w:rsid w:val="00E70376"/>
    <w:rsid w:val="00E71292"/>
    <w:rsid w:val="00E74FFE"/>
    <w:rsid w:val="00E75CC6"/>
    <w:rsid w:val="00E768C8"/>
    <w:rsid w:val="00E805D8"/>
    <w:rsid w:val="00E9316D"/>
    <w:rsid w:val="00E94006"/>
    <w:rsid w:val="00EA45A4"/>
    <w:rsid w:val="00EB3DD3"/>
    <w:rsid w:val="00EB5CC2"/>
    <w:rsid w:val="00ED792C"/>
    <w:rsid w:val="00EE200A"/>
    <w:rsid w:val="00EF2283"/>
    <w:rsid w:val="00F06C73"/>
    <w:rsid w:val="00F11CAD"/>
    <w:rsid w:val="00F21017"/>
    <w:rsid w:val="00F27726"/>
    <w:rsid w:val="00F27CEE"/>
    <w:rsid w:val="00F30825"/>
    <w:rsid w:val="00F3089A"/>
    <w:rsid w:val="00F33B34"/>
    <w:rsid w:val="00F3692B"/>
    <w:rsid w:val="00F42B9C"/>
    <w:rsid w:val="00F46DA6"/>
    <w:rsid w:val="00F512B6"/>
    <w:rsid w:val="00F547EB"/>
    <w:rsid w:val="00F55299"/>
    <w:rsid w:val="00F65FC4"/>
    <w:rsid w:val="00F7004B"/>
    <w:rsid w:val="00F7062E"/>
    <w:rsid w:val="00F70F6A"/>
    <w:rsid w:val="00F727F5"/>
    <w:rsid w:val="00F92C48"/>
    <w:rsid w:val="00F9621F"/>
    <w:rsid w:val="00F96CF3"/>
    <w:rsid w:val="00FA1DA5"/>
    <w:rsid w:val="00FB4FE0"/>
    <w:rsid w:val="00FC0B0F"/>
    <w:rsid w:val="00FC137B"/>
    <w:rsid w:val="00FC5EF8"/>
    <w:rsid w:val="00FC6D0A"/>
    <w:rsid w:val="00FC6FDC"/>
    <w:rsid w:val="00FE1354"/>
    <w:rsid w:val="00FE23A4"/>
    <w:rsid w:val="00FE63F7"/>
    <w:rsid w:val="00FE6FA7"/>
    <w:rsid w:val="00FF2161"/>
    <w:rsid w:val="083F205B"/>
    <w:rsid w:val="0CF766A3"/>
    <w:rsid w:val="13704B4D"/>
    <w:rsid w:val="15AD79D4"/>
    <w:rsid w:val="188E29F2"/>
    <w:rsid w:val="1C3453A4"/>
    <w:rsid w:val="24387956"/>
    <w:rsid w:val="2BC93662"/>
    <w:rsid w:val="2CCA772A"/>
    <w:rsid w:val="2E4A6781"/>
    <w:rsid w:val="3078705C"/>
    <w:rsid w:val="37553AE8"/>
    <w:rsid w:val="3D125560"/>
    <w:rsid w:val="41CB3F77"/>
    <w:rsid w:val="464C2B5D"/>
    <w:rsid w:val="4A1672C9"/>
    <w:rsid w:val="500622AF"/>
    <w:rsid w:val="5A1C409C"/>
    <w:rsid w:val="5B846996"/>
    <w:rsid w:val="68F05C48"/>
    <w:rsid w:val="719C7804"/>
    <w:rsid w:val="72A05165"/>
    <w:rsid w:val="79BB3DB1"/>
    <w:rsid w:val="79BF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00" w:beforeAutospacing="1" w:after="120"/>
    </w:pPr>
    <w:rPr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2508</Words>
  <Characters>2647</Characters>
  <Lines>16</Lines>
  <Paragraphs>4</Paragraphs>
  <TotalTime>33</TotalTime>
  <ScaleCrop>false</ScaleCrop>
  <LinksUpToDate>false</LinksUpToDate>
  <CharactersWithSpaces>2679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2020-11-26T05:28:00Z</dcterms:created>
  <dc:creator>微软用户</dc:creator>
  <cp:lastModifiedBy>不二</cp:lastModifiedBy>
  <cp:lastPrinted>2022-12-08T07:02:00Z</cp:lastPrinted>
  <dcterms:modified xsi:type="dcterms:W3CDTF">2022-12-08T07:10:22Z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809B6A683D76459C95D3C5BB2232849E</vt:lpwstr>
  </property>
</Properties>
</file>