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7CE75">
      <w:pPr>
        <w:pStyle w:val="2"/>
        <w:bidi w:val="0"/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栗子房镇执法全过程记录制度</w:t>
      </w:r>
      <w:bookmarkStart w:id="0" w:name="_GoBack"/>
      <w:bookmarkEnd w:id="0"/>
    </w:p>
    <w:p w14:paraId="484001FE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第一条 为严格规范公正文明执法，健全行政执法全过程留痕、可回溯管理机制，规范我镇行政执法行为，保障公民、法人和其他组织合法权益，根据《中华人民共和国行政处罚法》《中华人民共和国行政强制法》及行政执法全过程记录制度相关规定，结合我镇实际，制定本制度。</w:t>
      </w:r>
    </w:p>
    <w:p w14:paraId="78DD1C90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第二条 本制度适用于镇人民政府依法实施的行政检查、行政处罚、行政强制、行政确认、行政征收、行政调处等各类行政执法活动。 </w:t>
      </w:r>
    </w:p>
    <w:p w14:paraId="2C9379BD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第三条 行政执法全过程记录坚持合法规范、客观真实、全程覆盖、及时准确、归档可溯、安全保密的原则，实行谁执法、谁记录、谁负责。 </w:t>
      </w:r>
    </w:p>
    <w:p w14:paraId="75913FFA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第四条 镇综合行政执法办公室负责统筹全镇执法全过程记录工作，指导规范文书制作、音像采集、资料归档、台账管理；各执法岗位、网格工作人员按职责落实记录工作。</w:t>
      </w:r>
    </w:p>
    <w:p w14:paraId="344D42ED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第五条 行政执法全过程记录分为文字记录和音像记录两种方式，所有执法环节必须做到全程留痕、闭环完整。</w:t>
      </w:r>
    </w:p>
    <w:p w14:paraId="5228AEF1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第六条 文字记录为基础记录方式，覆盖全部执法流程，包括：线索受理、立案核查、现场检查、调查取证、权利告知、陈述申辩、审核审批、执法决定、文书送达、整改复查、结案归档等全部环节。</w:t>
      </w:r>
    </w:p>
    <w:p w14:paraId="37ABA1BA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</w:t>
      </w:r>
    </w:p>
    <w:p w14:paraId="3999EE2C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第七条 音像记录为重点补充方式，对容易引发争议、存在风险、现场性强的执法活动，必须全程音像记录，主要包括：</w:t>
      </w:r>
    </w:p>
    <w:p w14:paraId="699318C8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1. 现场入户核查、日常巡查、实地勘验、抽样取证；</w:t>
      </w:r>
    </w:p>
    <w:p w14:paraId="65BBE2F8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2. 调查询问、现场约谈、证据固定；</w:t>
      </w:r>
    </w:p>
    <w:p w14:paraId="7C260E50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3. 实施查封、扣押、先行登记保存等行政强制措施；</w:t>
      </w:r>
    </w:p>
    <w:p w14:paraId="08BD619F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4. 现场整改、现场处置、当场处罚；</w:t>
      </w:r>
    </w:p>
    <w:p w14:paraId="79C4E180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5. 文书现场送达、留置送达、公告送达全过程；</w:t>
      </w:r>
    </w:p>
    <w:p w14:paraId="13DCF241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6. 处置矛盾纠纷、群众投诉、情绪对立、涉稳隐患场景；</w:t>
      </w:r>
    </w:p>
    <w:p w14:paraId="68EAF546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7. 当事人异议较大、争议较强、存在舆情风险的执法环节；</w:t>
      </w:r>
    </w:p>
    <w:p w14:paraId="778DC0BC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8. 其他需要重点留存证据的执法活动。</w:t>
      </w:r>
    </w:p>
    <w:p w14:paraId="155CCE4C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第八条 执法人员必须统一使用规范制式执法文书，做到内容真实、要素齐全、逻辑严谨、字迹工整、签字完备、日期准确，杜绝缺项、漏项、涂改、补填、代签。</w:t>
      </w:r>
    </w:p>
    <w:p w14:paraId="2AFB6C6D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第九条 各类执法台账、巡查日志、线索台账、整改台账、投诉处置台账必须当日记录、动态更新，做到一事一记、一案一档。</w:t>
      </w:r>
    </w:p>
    <w:p w14:paraId="219DA3C4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第十条 执法调查、询问笔录、检查笔录、勘验笔录、整改通知书、告知文书、审批表、送达回证等材料，必须严格依照法定程序制作，完整反映执法事实、依据、过程、结果。 </w:t>
      </w:r>
    </w:p>
    <w:p w14:paraId="16C8B873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第十一条 音像记录应当全程连续、无中断、无删减、无剪辑，画面清晰、声音完整、时间准确、场景真实。</w:t>
      </w:r>
    </w:p>
    <w:p w14:paraId="5E758B17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</w:t>
      </w:r>
    </w:p>
    <w:p w14:paraId="09167863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第十二条 音像记录重点留存内容：执法时间、现场环境、执法人员、当事人及在场人员、涉案物品、执法动作、告知内容、当事人态度、现场处置全过程。</w:t>
      </w:r>
    </w:p>
    <w:p w14:paraId="758BAE77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第十三条 执法人员开展现场执法前，应提前开启执法记录设备，执法结束、人员离场后方可关闭，严禁选择性记录、事后补录。</w:t>
      </w:r>
    </w:p>
    <w:p w14:paraId="394DC98B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第十四条 执法记录设备由专人管理、专人使用、专人充电维护，保证设备完好、随时可用。</w:t>
      </w:r>
    </w:p>
    <w:p w14:paraId="31A044E1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第十五条 严格落实一案一卷、一户一档制度。执法办结后5个工作日内，承办人员将执法文书、台账资料、图片视频、证据材料统一整理归档。</w:t>
      </w:r>
    </w:p>
    <w:p w14:paraId="75E2503B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第十六条 执法资料保存期限：</w:t>
      </w:r>
    </w:p>
    <w:p w14:paraId="09E27524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1. 一般行政执法案件资料保存不少于3年；</w:t>
      </w:r>
    </w:p>
    <w:p w14:paraId="373AE166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2. 涉及行政强制、矛盾纠纷、信访投诉、重大风险、复议诉讼案件资料长期或永久保存。</w:t>
      </w:r>
    </w:p>
    <w:p w14:paraId="26BC7CA0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第十七条 建立执法音像资料存储、备份、调取制度，定期备份、分类存储、台账登记，防止丢失、损坏、误删。</w:t>
      </w:r>
    </w:p>
    <w:p w14:paraId="1699E736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第十八条 严格保密管理，执法影像、案件材料、当事人信息严禁私自转发、外传、截图、传播，严禁私自复制外泄。</w:t>
      </w:r>
    </w:p>
    <w:p w14:paraId="3026E7F3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第十九条 执法案卷、音像资料仅用于执法复核、案卷评查、复议应诉、监督检查、案件复盘等公务用途。</w:t>
      </w:r>
    </w:p>
    <w:p w14:paraId="0FB732F3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第二十条 内部调取执法资料需履行登记审批手续；外部单位调取需持有效手续、经分管领导批准后方可提供。</w:t>
      </w:r>
    </w:p>
    <w:p w14:paraId="3487F252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第二十一条 镇政府定期开展执法案卷评查、记录抽查、现场督导，对记录不规范、缺记录、漏记录、假记录、归档不及时的，责令限期整改、通报批评。</w:t>
      </w:r>
    </w:p>
    <w:p w14:paraId="350349CB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第二十二条 出现下列情形之一的，依规追责：</w:t>
      </w:r>
    </w:p>
    <w:p w14:paraId="02B3222E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1. 应当记录未记录、选择性记录、中断记录、擅自删除修改影像资料；</w:t>
      </w:r>
    </w:p>
    <w:p w14:paraId="7B98936B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2. 文书制作不规范、弄虚作假、缺项漏项造成执法瑕疵；</w:t>
      </w:r>
    </w:p>
    <w:p w14:paraId="4AB315B0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3. 私自泄露、传播执法影像及当事人信息造成不良影响；</w:t>
      </w:r>
    </w:p>
    <w:p w14:paraId="50653ABB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4. 因记录缺失、归档混乱导致执法败诉、撤销、追责的。</w:t>
      </w:r>
    </w:p>
    <w:p w14:paraId="0D23BD5A">
      <w:pPr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第二十三条 本制度由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栗子房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镇人民政府负责解释。</w:t>
      </w:r>
    </w:p>
    <w:p w14:paraId="7C9C56D9">
      <w:pP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第二十四条 本制度自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发布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之日起试行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2911C691-E889-484D-8F40-3144C07DCF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B74743"/>
    <w:rsid w:val="4541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1662</Words>
  <Characters>1676</Characters>
  <Lines>0</Lines>
  <Paragraphs>0</Paragraphs>
  <TotalTime>2</TotalTime>
  <ScaleCrop>false</ScaleCrop>
  <LinksUpToDate>false</LinksUpToDate>
  <CharactersWithSpaces>1719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2026-09-08T01:59:00Z</dcterms:created>
  <dc:creator>Administrator</dc:creator>
  <cp:lastModifiedBy>颖</cp:lastModifiedBy>
  <dcterms:modified xsi:type="dcterms:W3CDTF">2026-09-10T05:44:24Z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eyJoZGlkIjoiMWE3MjlkZjY1NDRmNGY1Y2Q5Y2M1OTIyYjc3OGY4NDMiLCJ1c2VySWQiOiIzMDYyNTk1OTAifQ==</vt:lpwstr>
  </property>
  <property fmtid="{D5CDD505-2E9C-101B-9397-08002B2CF9AE}" pid="4" name="ICV">
    <vt:lpwstr>085C95C24168408D8A3CE3BEC83F2F8A_12</vt:lpwstr>
  </property>
</Properties>
</file>