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59C431">
      <w:pPr>
        <w:pStyle w:val="9"/>
        <w:shd w:val="clear" w:color="auto" w:fill="FFFFFF"/>
        <w:spacing w:before="0" w:beforeAutospacing="0" w:after="0" w:afterAutospacing="0" w:line="600" w:lineRule="atLeast"/>
        <w:jc w:val="center"/>
        <w:rPr>
          <w:rFonts w:hint="eastAsia" w:ascii="方正小标宋简体" w:hAnsi="方正小标宋简体" w:eastAsia="方正小标宋简体" w:cs="方正小标宋简体"/>
          <w:b w:val="0"/>
          <w:bCs w:val="0"/>
          <w:color w:val="333333"/>
          <w:sz w:val="44"/>
          <w:szCs w:val="44"/>
          <w:lang w:eastAsia="zh-CN"/>
        </w:rPr>
      </w:pPr>
      <w:r>
        <w:rPr>
          <w:rFonts w:hint="eastAsia" w:ascii="方正小标宋简体" w:hAnsi="方正小标宋简体" w:eastAsia="方正小标宋简体" w:cs="方正小标宋简体"/>
          <w:b w:val="0"/>
          <w:bCs w:val="0"/>
          <w:color w:val="333333"/>
          <w:sz w:val="44"/>
          <w:szCs w:val="44"/>
        </w:rPr>
        <w:t>庄河市</w:t>
      </w:r>
      <w:r>
        <w:rPr>
          <w:rFonts w:hint="eastAsia" w:ascii="方正小标宋简体" w:hAnsi="方正小标宋简体" w:eastAsia="方正小标宋简体" w:cs="方正小标宋简体"/>
          <w:b w:val="0"/>
          <w:bCs w:val="0"/>
          <w:color w:val="333333"/>
          <w:sz w:val="44"/>
          <w:szCs w:val="44"/>
          <w:lang w:eastAsia="zh-CN"/>
        </w:rPr>
        <w:t>发展和改革</w:t>
      </w:r>
      <w:r>
        <w:rPr>
          <w:rFonts w:hint="eastAsia" w:ascii="方正小标宋简体" w:hAnsi="方正小标宋简体" w:eastAsia="方正小标宋简体" w:cs="方正小标宋简体"/>
          <w:b w:val="0"/>
          <w:bCs w:val="0"/>
          <w:color w:val="333333"/>
          <w:sz w:val="44"/>
          <w:szCs w:val="44"/>
        </w:rPr>
        <w:t>局行政执法全过程记录</w:t>
      </w:r>
      <w:r>
        <w:rPr>
          <w:rFonts w:hint="eastAsia" w:ascii="方正小标宋简体" w:hAnsi="方正小标宋简体" w:eastAsia="方正小标宋简体" w:cs="方正小标宋简体"/>
          <w:b w:val="0"/>
          <w:bCs w:val="0"/>
          <w:color w:val="333333"/>
          <w:sz w:val="44"/>
          <w:szCs w:val="44"/>
          <w:lang w:val="en-US" w:eastAsia="zh-CN"/>
        </w:rPr>
        <w:t>制度实施办法</w:t>
      </w:r>
    </w:p>
    <w:p w14:paraId="56F5BA82">
      <w:pPr>
        <w:widowControl/>
        <w:adjustRightInd w:val="0"/>
        <w:snapToGrid w:val="0"/>
        <w:spacing w:line="600" w:lineRule="exact"/>
        <w:jc w:val="center"/>
        <w:rPr>
          <w:rFonts w:ascii="黑体" w:hAnsi="黑体" w:eastAsia="黑体" w:cs="宋体"/>
          <w:bCs/>
          <w:color w:val="000000"/>
          <w:kern w:val="0"/>
          <w:sz w:val="32"/>
          <w:szCs w:val="32"/>
        </w:rPr>
      </w:pPr>
    </w:p>
    <w:p w14:paraId="69BE7CA3">
      <w:pPr>
        <w:widowControl/>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rPr>
        <w:t>第一条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kern w:val="0"/>
          <w:sz w:val="32"/>
          <w:szCs w:val="32"/>
          <w:lang w:val="en-US" w:eastAsia="zh-CN"/>
        </w:rPr>
        <w:t>根据《庄河市行政执法全过程记录实施办法》（庄政依法办〔2019〕），结合我局工作实际，制定本办法。</w:t>
      </w:r>
    </w:p>
    <w:p w14:paraId="6998CFBD">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第二条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本办法所称行政执法，是指行政许可、行政检查等行政行为。</w:t>
      </w:r>
    </w:p>
    <w:p w14:paraId="77554A63">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第三条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本办法所称全过程记录，是指执法科室及其执法人员通过文字、音像等记录方式，对</w:t>
      </w:r>
      <w:r>
        <w:rPr>
          <w:rFonts w:hint="eastAsia" w:ascii="仿宋_GB2312" w:hAnsi="仿宋_GB2312" w:eastAsia="仿宋_GB2312" w:cs="仿宋_GB2312"/>
          <w:color w:val="000000"/>
          <w:kern w:val="0"/>
          <w:sz w:val="32"/>
          <w:szCs w:val="32"/>
          <w:lang w:eastAsia="zh-CN"/>
        </w:rPr>
        <w:t>行政执法程序</w:t>
      </w:r>
      <w:r>
        <w:rPr>
          <w:rFonts w:hint="eastAsia" w:ascii="仿宋_GB2312" w:hAnsi="仿宋_GB2312" w:eastAsia="仿宋_GB2312" w:cs="仿宋_GB2312"/>
          <w:color w:val="000000"/>
          <w:kern w:val="0"/>
          <w:sz w:val="32"/>
          <w:szCs w:val="32"/>
        </w:rPr>
        <w:t>启动、调查取证、审查决定、送达执行、归档管理等行政执法全部过程进行跟踪记录的活动，做到执法全过程留痕和可回溯管理。</w:t>
      </w:r>
    </w:p>
    <w:p w14:paraId="1DD5B1DA">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文字记录方式包括向当事人出具的行政执法文书、调查取证相关文书、鉴定意见、专家论证报告、听证报告、案件讨论记录、内部程序审批表、送达回证等书面记录。</w:t>
      </w:r>
    </w:p>
    <w:p w14:paraId="7F158C2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音像记录方式包括采用照相、录音、录像、视频监控等方式进行的记录。</w:t>
      </w:r>
    </w:p>
    <w:p w14:paraId="786B75B3">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文字与音像记录方式可同时使用，也可分别使用。</w:t>
      </w:r>
    </w:p>
    <w:p w14:paraId="442112A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第四条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对公民、法人或其他组织依法申请办理的事项，要依照有关法律法规和规章的规定对申请登记、口头申请、受理或不予受理、当场更正申请材料中的错误、出具书面凭证或回执以及一次性告知申请人需补正的全部内容等予以记录。</w:t>
      </w:r>
    </w:p>
    <w:p w14:paraId="7DE9B1D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第五条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依职权启动一般程序行政执法的，由行政执法人员填写相关执法文书，报分管领导批准。情况紧急的，可先启动行政执法程序，并在行政执法程序启动后24小时内补报。</w:t>
      </w:r>
    </w:p>
    <w:p w14:paraId="47A51B7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相关执法文书要载明启动原因、案件来源、基本案情、当事人基本情况、承办人意见、承办科室意见、分管领导意见、时间等内容。</w:t>
      </w:r>
    </w:p>
    <w:p w14:paraId="060B9866">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第六条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接到投诉、举报，需要查处的，及时启动执法程序，并进行相应记录；对实名投诉、举报，经审查不启动行政执法程序的，要依据有关规定告知投诉人、举报人，并将相关情况作书面记录。</w:t>
      </w:r>
    </w:p>
    <w:p w14:paraId="1D058A4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第七条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执法人员要在相关调查笔录中对执法人员数量、姓名、执法证件编号及出示情况进行文字记录，并由当事人或有关在场人员签字或盖章。</w:t>
      </w:r>
    </w:p>
    <w:p w14:paraId="5F55902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执法人员在执法过程中对告知行政相对人依法享有的陈述、申辩、申请回避、听证、申请复议、诉讼等权利的方式要进行记录。</w:t>
      </w:r>
    </w:p>
    <w:p w14:paraId="447B7EA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第八条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调查、取证可采取以下方式进行文字记录：</w:t>
      </w:r>
    </w:p>
    <w:p w14:paraId="38AD5E5B">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（一）询问当事人或证人，要制作询问笔录等文书；</w:t>
      </w:r>
    </w:p>
    <w:p w14:paraId="31D3C8D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（二）向有关单位和个人调取书证、物证的，要制作调取证据通知书、证据登记保存清单等文书；</w:t>
      </w:r>
    </w:p>
    <w:p w14:paraId="585E3F54">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（三）现场检查（勘验）等，要制作现场检查（勘验）笔录等文书；</w:t>
      </w:r>
    </w:p>
    <w:p w14:paraId="4265142E">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（四）抽样的，要制作抽查取样通知书及物品清单等文书；</w:t>
      </w:r>
    </w:p>
    <w:p w14:paraId="6DCA1EDB">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（五）听取当事人陈述和申辩的，要制作陈述、申辩笔录，并记录权利告知内容；</w:t>
      </w:r>
    </w:p>
    <w:p w14:paraId="260F82E6">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（六）举行听证会的，要依照听证的规定制作听证全过程记录文书；</w:t>
      </w:r>
    </w:p>
    <w:p w14:paraId="6D763CCA">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（七）指定或委托法定的鉴定机构出具鉴定意见的，鉴定机构要出具鉴定意见书等文书；</w:t>
      </w:r>
    </w:p>
    <w:p w14:paraId="4AD08A05">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（八）法律法规和规章规定的其他调查方式。</w:t>
      </w:r>
    </w:p>
    <w:p w14:paraId="40D3982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上述文书均应由行政执法人员、行政相对人及有关人员签字或盖章。</w:t>
      </w:r>
    </w:p>
    <w:p w14:paraId="4024AE1F">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当事人或有关人员拒绝接受调查和提供证据的，行政执法人员要进行记录。</w:t>
      </w:r>
    </w:p>
    <w:p w14:paraId="3811B13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第九条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采取现场检查（勘验）、抽样调查和听证取证方式的，应同时进行音像记录，不适宜音像记录的除外，但需书面记录原因。采取其他调查取证方式的，可根据执法需要进行音像记录。</w:t>
      </w:r>
    </w:p>
    <w:p w14:paraId="42B42A4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在证据可能灭失或事后难以取得的情况下，执法科室采取证据保全措施的，要记录以下事项：</w:t>
      </w:r>
    </w:p>
    <w:p w14:paraId="7231324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（一）证据保全的启动理由；</w:t>
      </w:r>
    </w:p>
    <w:p w14:paraId="5C626969">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（二）证据保全的具体标的；</w:t>
      </w:r>
    </w:p>
    <w:p w14:paraId="00E6AA9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（三）证据保全的形式，包括先行登记保存证据法定文书、复制、音像、鉴定、勘验、制作询问笔录等。</w:t>
      </w:r>
    </w:p>
    <w:p w14:paraId="04CB2540">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第十一条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采取查封场所、设施或财物、扣押财物等行政强制措施的，应当通过制作法定文书的方式进行文字记录，同时还应进行音像记录。</w:t>
      </w:r>
    </w:p>
    <w:p w14:paraId="4A409343">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第十二条</w:t>
      </w:r>
      <w:r>
        <w:rPr>
          <w:rFonts w:hint="eastAsia" w:ascii="仿宋_GB2312" w:hAnsi="仿宋_GB2312" w:eastAsia="仿宋_GB2312" w:cs="仿宋_GB2312"/>
          <w:b/>
          <w:color w:val="000000"/>
          <w:kern w:val="0"/>
          <w:sz w:val="32"/>
          <w:szCs w:val="32"/>
          <w:highlight w:val="none"/>
          <w:lang w:val="en-US" w:eastAsia="zh-CN"/>
        </w:rPr>
        <w:t xml:space="preserve"> </w:t>
      </w:r>
      <w:r>
        <w:rPr>
          <w:rFonts w:hint="eastAsia" w:ascii="仿宋_GB2312" w:hAnsi="仿宋_GB2312" w:eastAsia="仿宋_GB2312" w:cs="仿宋_GB2312"/>
          <w:color w:val="000000"/>
          <w:kern w:val="0"/>
          <w:sz w:val="32"/>
          <w:szCs w:val="32"/>
        </w:rPr>
        <w:t>制作行政执法文书时应载明制作人、承办科室审核人、法律依据、证据材料、应考虑的其他有关因素等。</w:t>
      </w:r>
    </w:p>
    <w:p w14:paraId="038460A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法制审查文书要载明审查人员、审查意见和建议。</w:t>
      </w:r>
    </w:p>
    <w:p w14:paraId="302294D3">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组织专家论证的，要制作专家论证会议纪要或专家意见书。</w:t>
      </w:r>
    </w:p>
    <w:p w14:paraId="3E93E390">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集体讨论要制作集体讨论记录或会议纪要。</w:t>
      </w:r>
    </w:p>
    <w:p w14:paraId="0B570AF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负责人审批记录包括负责人签署意见、负责人签名。</w:t>
      </w:r>
    </w:p>
    <w:p w14:paraId="35967BCF">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第十三条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执法决定文书应符合法定格式，充分说明作出决定的理由，语言要简明、规范、准确。</w:t>
      </w:r>
    </w:p>
    <w:p w14:paraId="0F7D3DD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 xml:space="preserve">第十四条 </w:t>
      </w:r>
      <w:r>
        <w:rPr>
          <w:rFonts w:hint="eastAsia" w:ascii="仿宋_GB2312" w:hAnsi="仿宋_GB2312" w:eastAsia="仿宋_GB2312" w:cs="仿宋_GB2312"/>
          <w:color w:val="000000"/>
          <w:kern w:val="0"/>
          <w:sz w:val="32"/>
          <w:szCs w:val="32"/>
        </w:rPr>
        <w:t>适用简易程序的，要记录以下内容：</w:t>
      </w:r>
    </w:p>
    <w:p w14:paraId="46962D4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（一）适用简易程序的事实依据、法律依据的具体条件；</w:t>
      </w:r>
    </w:p>
    <w:p w14:paraId="2987FEB8">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（二）实施简易程序的程序步骤及法定文书；</w:t>
      </w:r>
    </w:p>
    <w:p w14:paraId="739776F7">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（三）当事人陈述、申辩的记录；</w:t>
      </w:r>
    </w:p>
    <w:p w14:paraId="3AD3AD8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（四）对当事人陈述、申辩内容的复核及处理，是否采纳的理由；</w:t>
      </w:r>
    </w:p>
    <w:p w14:paraId="0EE6E09E">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（五）依法向所属行政机关备案的内容；</w:t>
      </w:r>
    </w:p>
    <w:p w14:paraId="378D7844">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（六）对符合当场收缴罚款情况的实施过程；</w:t>
      </w:r>
    </w:p>
    <w:p w14:paraId="6529430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（七）其他依法记录的内容。</w:t>
      </w:r>
    </w:p>
    <w:p w14:paraId="070ED34B">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对容易引起行政争议的简易程序执法行为，执法科室应采用适当方式进行音像记录。</w:t>
      </w:r>
    </w:p>
    <w:p w14:paraId="78C2E300">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第十五条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直接送达执法文书，由送达人、受送达人或符合法定条件的签收人在送达回证上签名或盖章。</w:t>
      </w:r>
    </w:p>
    <w:p w14:paraId="47762ABE">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邮寄送达执法文书要采用挂号信或特快专递方式，留存邮寄送达的登记、载明执法文书名称、文号的付邮凭证等回执。</w:t>
      </w:r>
    </w:p>
    <w:p w14:paraId="6CA7E6C6">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留置送达方式要符合法定形式，在送达回证上记明拒收事由和日期，由送达人、见证人签名或盖章，把执法文书留在受送达人的住所，并采用音像记录等方式记录送达过程。</w:t>
      </w:r>
    </w:p>
    <w:p w14:paraId="13A14D5D">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依法采用委托、转交等方式送达行政执法文书的，要记录委托、转交原因，由送达人、受送达人在送达回证上签名或盖章。</w:t>
      </w:r>
    </w:p>
    <w:p w14:paraId="7AE4F04F">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公告送达应重点记录已经采用其他方式均无法送达的情况以及公告送达的方式和载体，留存书面公告，以适当方式进行音像记录，并在案卷中记明原因和经过。</w:t>
      </w:r>
    </w:p>
    <w:p w14:paraId="342A5325">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第十六条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执法科室作出行政执法决定后，要对当事人履行情况进行文字记录。</w:t>
      </w:r>
    </w:p>
    <w:p w14:paraId="4CB886B4">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依法应责令改正的，要按期对改正情况进行核查并进行文字记录，可根据执法需要进行音像记录。</w:t>
      </w:r>
    </w:p>
    <w:p w14:paraId="15CD08CB">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第十七条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当事人逾期不履行行政执法决定需要强制执行的，执法科室要在作出强制执行决定前或申请法院强制执行前，制作催告书并送达当事人。</w:t>
      </w:r>
    </w:p>
    <w:p w14:paraId="200F51E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当事人进行陈述、申辩的，有关执法科室应充分听取当事人的意见，对当事人提出的事实、理由和证据，要进行记录、复核。</w:t>
      </w:r>
    </w:p>
    <w:p w14:paraId="17B5A317">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第十八条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经催告，当事人无正当理由逾期仍不履行行政执法决定，具有强制执行权的执法科室依法采取以下强制执行方式的，要制作相应文书进行文字记录：</w:t>
      </w:r>
    </w:p>
    <w:p w14:paraId="0B18E907">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（一）加处罚款；</w:t>
      </w:r>
    </w:p>
    <w:p w14:paraId="1745C106">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（二）依法处理查封、扣押的场所、设施或财物；</w:t>
      </w:r>
    </w:p>
    <w:p w14:paraId="65740B83">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（三）排除妨碍；</w:t>
      </w:r>
    </w:p>
    <w:p w14:paraId="622309D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（四）其他强制执行方式。</w:t>
      </w:r>
    </w:p>
    <w:p w14:paraId="681EF784">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采取排除妨碍、恢复原状强制执行方式的，应同时进行音像记录。</w:t>
      </w:r>
    </w:p>
    <w:p w14:paraId="2E3287BD">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第十九条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没有强制执行权的执法科室在依法催告后，需申请法院强制执行的，要对申请法院强制执行的相关文书、强制执行结果等全过程进行记录。</w:t>
      </w:r>
    </w:p>
    <w:p w14:paraId="663D01DD">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第二十条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执法科室应严格执行行政执法案卷管理制度。</w:t>
      </w:r>
    </w:p>
    <w:p w14:paraId="3A28FBE9">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行政执法科室应在执法行为终结之日起30日内（法律、法规、规章有具体要求的，从其规定），将行政执法过程中形成的文字和音像记录资料，形成相应案卷，并按照《中华人民共和国档案法》的规定归档、保存。</w:t>
      </w:r>
    </w:p>
    <w:p w14:paraId="486E9EAB">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音像记录制作完成后，行政执法人员不得自行保管，应在24小时内按要求将信息储存至执法信息系统或有关专用储存器。因连续工作、异地工作或交通不便等原因，确实不能及时移交记录信息的，应自回到本单位后24小时内移交存储。</w:t>
      </w:r>
    </w:p>
    <w:p w14:paraId="50B2E966">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第二十一条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执法科室要严格执行行政执法全过程记录管理与使用制度，明确专门人员负责对全过程记录文字和音像资料的归档、保存和使用。</w:t>
      </w:r>
    </w:p>
    <w:p w14:paraId="63E8F4C7">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涉及国家秘密、商业秘密和个人隐私的执法记录信息，要严格按照保密工作的有关规定和权限进行管理。</w:t>
      </w:r>
    </w:p>
    <w:p w14:paraId="67882E1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第二十二条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执法科室实施执法全过程记录中有下列情形之一的，应当及时整改；情节严重或造成严重后果的，有关部门将对负有直接责任的主管人员和其他责任人员依法给予行政处分；构成犯罪的，依法追究刑事责任。</w:t>
      </w:r>
    </w:p>
    <w:p w14:paraId="46A19DC7">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（一）不制作或不按要求制作执法全过程记录的；</w:t>
      </w:r>
    </w:p>
    <w:p w14:paraId="5CFB70DA">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（二）违反规定泄露执法记录信息造成严重后果的；</w:t>
      </w:r>
    </w:p>
    <w:p w14:paraId="35AFC70F">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（三）故意毁损，随意删除、修改执法全过程</w:t>
      </w:r>
      <w:bookmarkStart w:id="0" w:name="_GoBack"/>
      <w:bookmarkEnd w:id="0"/>
      <w:r>
        <w:rPr>
          <w:rFonts w:hint="eastAsia" w:ascii="仿宋_GB2312" w:hAnsi="仿宋_GB2312" w:eastAsia="仿宋_GB2312" w:cs="仿宋_GB2312"/>
          <w:color w:val="000000"/>
          <w:kern w:val="0"/>
          <w:sz w:val="32"/>
          <w:szCs w:val="32"/>
        </w:rPr>
        <w:t>文字或音像记录信息的；</w:t>
      </w:r>
    </w:p>
    <w:p w14:paraId="77A27F02">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（四）不按规定储存或维护致使执法记录损毁、丢失，造成严重后果的；</w:t>
      </w:r>
    </w:p>
    <w:p w14:paraId="148E0CB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（五）其他违反执法全过程记录规定，造成严重后果的。</w:t>
      </w:r>
    </w:p>
    <w:p w14:paraId="5D3767BC">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第二十三条</w:t>
      </w:r>
      <w:r>
        <w:rPr>
          <w:rFonts w:hint="eastAsia" w:ascii="仿宋_GB2312" w:hAnsi="仿宋_GB2312" w:eastAsia="仿宋_GB2312" w:cs="仿宋_GB2312"/>
          <w:b/>
          <w:color w:val="000000"/>
          <w:kern w:val="0"/>
          <w:sz w:val="32"/>
          <w:szCs w:val="32"/>
          <w:highlight w:val="none"/>
        </w:rPr>
        <w:t xml:space="preserve"> </w:t>
      </w:r>
      <w:r>
        <w:rPr>
          <w:rFonts w:hint="eastAsia" w:ascii="仿宋_GB2312" w:hAnsi="仿宋_GB2312" w:eastAsia="仿宋_GB2312" w:cs="仿宋_GB2312"/>
          <w:color w:val="000000"/>
          <w:kern w:val="0"/>
          <w:sz w:val="32"/>
          <w:szCs w:val="32"/>
        </w:rPr>
        <w:t>行政执法工作要健全内部工作程序，全程记录内部审批流程，明确承办人、审核人、批准人，按照行政执法的依据、条件和程序，由承办人提出意见和理由，经审核人审核后，由批准人批准。</w:t>
      </w:r>
    </w:p>
    <w:p w14:paraId="55923161">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r>
        <w:rPr>
          <w:rFonts w:hint="eastAsia" w:ascii="楷体_GB2312" w:hAnsi="楷体_GB2312" w:eastAsia="楷体_GB2312" w:cs="楷体_GB2312"/>
          <w:b w:val="0"/>
          <w:bCs/>
          <w:color w:val="000000"/>
          <w:kern w:val="0"/>
          <w:sz w:val="32"/>
          <w:szCs w:val="32"/>
          <w:highlight w:val="none"/>
        </w:rPr>
        <w:t>第</w:t>
      </w:r>
      <w:r>
        <w:rPr>
          <w:rFonts w:hint="eastAsia" w:ascii="楷体_GB2312" w:hAnsi="楷体_GB2312" w:eastAsia="楷体_GB2312" w:cs="楷体_GB2312"/>
          <w:b w:val="0"/>
          <w:bCs/>
          <w:color w:val="000000"/>
          <w:kern w:val="0"/>
          <w:sz w:val="32"/>
          <w:szCs w:val="32"/>
          <w:highlight w:val="none"/>
          <w:lang w:eastAsia="zh-CN"/>
        </w:rPr>
        <w:t>二十四</w:t>
      </w:r>
      <w:r>
        <w:rPr>
          <w:rFonts w:hint="eastAsia" w:ascii="楷体_GB2312" w:hAnsi="楷体_GB2312" w:eastAsia="楷体_GB2312" w:cs="楷体_GB2312"/>
          <w:b w:val="0"/>
          <w:bCs/>
          <w:color w:val="000000"/>
          <w:kern w:val="0"/>
          <w:sz w:val="32"/>
          <w:szCs w:val="32"/>
          <w:highlight w:val="none"/>
        </w:rPr>
        <w:t>条</w:t>
      </w:r>
      <w:r>
        <w:rPr>
          <w:rFonts w:hint="eastAsia" w:ascii="仿宋_GB2312" w:hAnsi="仿宋_GB2312" w:eastAsia="仿宋_GB2312" w:cs="仿宋_GB2312"/>
          <w:b/>
          <w:color w:val="000000"/>
          <w:kern w:val="0"/>
          <w:sz w:val="32"/>
          <w:szCs w:val="32"/>
          <w:highlight w:val="none"/>
          <w:lang w:val="en-US" w:eastAsia="zh-CN"/>
        </w:rPr>
        <w:t xml:space="preserve"> </w:t>
      </w:r>
      <w:r>
        <w:rPr>
          <w:rFonts w:hint="eastAsia" w:ascii="仿宋_GB2312" w:hAnsi="仿宋_GB2312" w:eastAsia="仿宋_GB2312" w:cs="仿宋_GB2312"/>
          <w:color w:val="000000"/>
          <w:kern w:val="0"/>
          <w:sz w:val="32"/>
          <w:szCs w:val="32"/>
        </w:rPr>
        <w:t>本</w:t>
      </w:r>
      <w:r>
        <w:rPr>
          <w:rFonts w:hint="eastAsia" w:ascii="仿宋_GB2312" w:hAnsi="仿宋_GB2312" w:eastAsia="仿宋_GB2312" w:cs="仿宋_GB2312"/>
          <w:color w:val="000000"/>
          <w:kern w:val="0"/>
          <w:sz w:val="32"/>
          <w:szCs w:val="32"/>
          <w:lang w:val="en-US" w:eastAsia="zh-CN"/>
        </w:rPr>
        <w:t>办法</w:t>
      </w:r>
      <w:r>
        <w:rPr>
          <w:rFonts w:hint="eastAsia" w:ascii="仿宋_GB2312" w:hAnsi="仿宋_GB2312" w:eastAsia="仿宋_GB2312" w:cs="仿宋_GB2312"/>
          <w:color w:val="000000"/>
          <w:kern w:val="0"/>
          <w:sz w:val="32"/>
          <w:szCs w:val="32"/>
          <w:lang w:eastAsia="zh-CN"/>
        </w:rPr>
        <w:t>发布之日</w:t>
      </w:r>
      <w:r>
        <w:rPr>
          <w:rFonts w:hint="eastAsia" w:ascii="仿宋_GB2312" w:hAnsi="仿宋_GB2312" w:eastAsia="仿宋_GB2312" w:cs="仿宋_GB2312"/>
          <w:color w:val="000000"/>
          <w:kern w:val="0"/>
          <w:sz w:val="32"/>
          <w:szCs w:val="32"/>
        </w:rPr>
        <w:t>起施行。</w:t>
      </w:r>
    </w:p>
    <w:p w14:paraId="19A7147F">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p>
    <w:p w14:paraId="0DC775B0">
      <w:pPr>
        <w:adjustRightInd w:val="0"/>
        <w:spacing w:line="600" w:lineRule="exact"/>
        <w:ind w:firstLine="640" w:firstLineChars="200"/>
        <w:contextualSpacing/>
        <w:jc w:val="both"/>
        <w:rPr>
          <w:rFonts w:hint="eastAsia" w:ascii="仿宋_GB2312" w:hAnsi="仿宋_GB2312" w:eastAsia="仿宋_GB2312" w:cs="仿宋_GB2312"/>
          <w:color w:val="000000"/>
          <w:kern w:val="0"/>
          <w:sz w:val="32"/>
          <w:szCs w:val="32"/>
        </w:rPr>
      </w:pPr>
    </w:p>
    <w:p w14:paraId="7DC3AB54">
      <w:pPr>
        <w:wordWrap w:val="0"/>
        <w:adjustRightInd w:val="0"/>
        <w:spacing w:line="600" w:lineRule="exact"/>
        <w:ind w:firstLine="640" w:firstLineChars="200"/>
        <w:contextualSpacing/>
        <w:jc w:val="right"/>
        <w:rPr>
          <w:rFonts w:hint="default"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eastAsia="zh-CN"/>
        </w:rPr>
        <w:t>庄河市发展和改革局</w:t>
      </w:r>
      <w:r>
        <w:rPr>
          <w:rFonts w:hint="eastAsia" w:ascii="仿宋_GB2312" w:hAnsi="仿宋_GB2312" w:eastAsia="仿宋_GB2312" w:cs="仿宋_GB2312"/>
          <w:color w:val="000000"/>
          <w:kern w:val="0"/>
          <w:sz w:val="32"/>
          <w:szCs w:val="32"/>
          <w:lang w:val="en-US" w:eastAsia="zh-CN"/>
        </w:rPr>
        <w:t xml:space="preserve">     </w:t>
      </w:r>
    </w:p>
    <w:p w14:paraId="3211F0E8">
      <w:pPr>
        <w:wordWrap w:val="0"/>
        <w:adjustRightInd w:val="0"/>
        <w:spacing w:line="600" w:lineRule="exact"/>
        <w:ind w:firstLine="640" w:firstLineChars="200"/>
        <w:contextualSpacing/>
        <w:jc w:val="right"/>
        <w:rPr>
          <w:rFonts w:hint="default"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 xml:space="preserve">2026年9月1日      </w:t>
      </w:r>
    </w:p>
    <w:sectPr>
      <w:footerReference r:id="rId3"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6278"/>
      <w:docPartObj>
        <w:docPartGallery w:val="autotext"/>
      </w:docPartObj>
    </w:sdtPr>
    <w:sdtContent>
      <w:p w14:paraId="37221055">
        <w:pPr>
          <w:pStyle w:val="2"/>
          <w:jc w:val="center"/>
        </w:pPr>
        <w:r>
          <w:fldChar w:fldCharType="begin"/>
        </w:r>
        <w:r>
          <w:instrText xml:space="preserve"> PAGE   \* MERGEFORMAT </w:instrText>
        </w:r>
        <w:r>
          <w:fldChar w:fldCharType="separate"/>
        </w:r>
        <w:r>
          <w:rPr>
            <w:lang w:val="zh-CN"/>
          </w:rPr>
          <w:t>8</w:t>
        </w:r>
        <w:r>
          <w:rPr>
            <w:lang w:val="zh-CN"/>
          </w:rPr>
          <w:fldChar w:fldCharType="end"/>
        </w:r>
      </w:p>
    </w:sdtContent>
  </w:sdt>
  <w:p w14:paraId="0ED09965">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991"/>
    <w:rsid w:val="00000646"/>
    <w:rsid w:val="00012DBC"/>
    <w:rsid w:val="000A1CEB"/>
    <w:rsid w:val="000A7238"/>
    <w:rsid w:val="000D7685"/>
    <w:rsid w:val="000E62D6"/>
    <w:rsid w:val="001108E3"/>
    <w:rsid w:val="0012338D"/>
    <w:rsid w:val="00163178"/>
    <w:rsid w:val="00165083"/>
    <w:rsid w:val="001853D2"/>
    <w:rsid w:val="0019666C"/>
    <w:rsid w:val="001B29F4"/>
    <w:rsid w:val="001C70BD"/>
    <w:rsid w:val="002067C5"/>
    <w:rsid w:val="00216700"/>
    <w:rsid w:val="00267E7C"/>
    <w:rsid w:val="00271E16"/>
    <w:rsid w:val="002962B1"/>
    <w:rsid w:val="002E73DB"/>
    <w:rsid w:val="00370950"/>
    <w:rsid w:val="00373520"/>
    <w:rsid w:val="00380BED"/>
    <w:rsid w:val="0039274A"/>
    <w:rsid w:val="00402452"/>
    <w:rsid w:val="00452B54"/>
    <w:rsid w:val="004566DD"/>
    <w:rsid w:val="00491CB6"/>
    <w:rsid w:val="004B4E7A"/>
    <w:rsid w:val="004E48D1"/>
    <w:rsid w:val="00503A93"/>
    <w:rsid w:val="00556E27"/>
    <w:rsid w:val="00557090"/>
    <w:rsid w:val="005C4C91"/>
    <w:rsid w:val="005D1CFB"/>
    <w:rsid w:val="005E4277"/>
    <w:rsid w:val="00652EE3"/>
    <w:rsid w:val="00664ED0"/>
    <w:rsid w:val="006A5AD2"/>
    <w:rsid w:val="00707ACE"/>
    <w:rsid w:val="00713FC5"/>
    <w:rsid w:val="00727EAE"/>
    <w:rsid w:val="00737991"/>
    <w:rsid w:val="0074704C"/>
    <w:rsid w:val="007A17E4"/>
    <w:rsid w:val="007A76A2"/>
    <w:rsid w:val="007D1EE1"/>
    <w:rsid w:val="007F0BEB"/>
    <w:rsid w:val="00835F97"/>
    <w:rsid w:val="00852070"/>
    <w:rsid w:val="0086153B"/>
    <w:rsid w:val="00862B02"/>
    <w:rsid w:val="008C5A86"/>
    <w:rsid w:val="008D6657"/>
    <w:rsid w:val="008E1CF5"/>
    <w:rsid w:val="009135BF"/>
    <w:rsid w:val="00921B95"/>
    <w:rsid w:val="009746E5"/>
    <w:rsid w:val="009A4DE4"/>
    <w:rsid w:val="009D7D83"/>
    <w:rsid w:val="00A21A8D"/>
    <w:rsid w:val="00A24381"/>
    <w:rsid w:val="00AA1B55"/>
    <w:rsid w:val="00B971C6"/>
    <w:rsid w:val="00C04170"/>
    <w:rsid w:val="00C246BB"/>
    <w:rsid w:val="00C85476"/>
    <w:rsid w:val="00C93559"/>
    <w:rsid w:val="00CD510D"/>
    <w:rsid w:val="00CF1EDA"/>
    <w:rsid w:val="00D47244"/>
    <w:rsid w:val="00D94AB9"/>
    <w:rsid w:val="00E01F44"/>
    <w:rsid w:val="00E16E15"/>
    <w:rsid w:val="00E22E7C"/>
    <w:rsid w:val="00E22E8A"/>
    <w:rsid w:val="00E412A9"/>
    <w:rsid w:val="00E65B7E"/>
    <w:rsid w:val="00EF22C4"/>
    <w:rsid w:val="00F949C7"/>
    <w:rsid w:val="00FF6B88"/>
    <w:rsid w:val="0E121E5E"/>
    <w:rsid w:val="36FFB269"/>
    <w:rsid w:val="5AC7795E"/>
    <w:rsid w:val="66515005"/>
    <w:rsid w:val="6E043452"/>
    <w:rsid w:val="6EFBE573"/>
    <w:rsid w:val="6FBF4FCA"/>
    <w:rsid w:val="73DF1582"/>
    <w:rsid w:val="79FB246A"/>
    <w:rsid w:val="7B3EE286"/>
    <w:rsid w:val="7C601DB0"/>
    <w:rsid w:val="7FD22FF6"/>
    <w:rsid w:val="961FA6C1"/>
    <w:rsid w:val="B7DBFF39"/>
    <w:rsid w:val="BF3BBD0F"/>
    <w:rsid w:val="E95C225B"/>
    <w:rsid w:val="FECD1E8A"/>
    <w:rsid w:val="FFCF2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paragraph" w:customStyle="1" w:styleId="9">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B7074163-5759-405C-80E5-9BF8019D1F1F}">
  <ds:schemaRefs/>
</ds:datastoreItem>
</file>

<file path=docProps/app.xml><?xml version="1.0" encoding="utf-8"?>
<Properties xmlns="http://schemas.openxmlformats.org/officeDocument/2006/extended-properties" xmlns:vt="http://schemas.openxmlformats.org/officeDocument/2006/docPropsVTypes">
  <Template>Normal</Template>
  <Pages>7</Pages>
  <Words>3133</Words>
  <Characters>3143</Characters>
  <Lines>27</Lines>
  <Paragraphs>7</Paragraphs>
  <TotalTime>1108</TotalTime>
  <ScaleCrop>false</ScaleCrop>
  <LinksUpToDate>false</LinksUpToDate>
  <CharactersWithSpaces>3178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2019-08-09T14:33:00Z</dcterms:created>
  <dc:creator>win7</dc:creator>
  <cp:lastModifiedBy>Administrator</cp:lastModifiedBy>
  <cp:lastPrinted>2026-09-08T16:56:00Z</cp:lastPrinted>
  <dcterms:modified xsi:type="dcterms:W3CDTF">2026-09-11T08:59:35Z</dcterms:modified>
  <cp:revision>266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eyJoZGlkIjoiY2Y2NDE2NmI4ZDcyMDJmNDQ2YmExZTA2ZDRlNWVkYWUifQ==</vt:lpwstr>
  </property>
  <property fmtid="{D5CDD505-2E9C-101B-9397-08002B2CF9AE}" pid="3" name="KSOProductBuildVer">
    <vt:lpwstr>2052-12.1.0.28505</vt:lpwstr>
  </property>
  <property fmtid="{D5CDD505-2E9C-101B-9397-08002B2CF9AE}" pid="4" name="ICV">
    <vt:lpwstr>9195F45058044CEF893DDAD2CF0556BC_13</vt:lpwstr>
  </property>
</Properties>
</file>