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8" w:line="224" w:lineRule="auto"/>
        <w:ind w:left="788"/>
        <w:jc w:val="center"/>
        <w:rPr>
          <w:rFonts w:hint="eastAsia" w:ascii="方正小标宋简体" w:hAnsi="方正小标宋简体" w:eastAsia="方正小标宋简体" w:cs="方正小标宋简体"/>
          <w:b w:val="0"/>
          <w:bCs w:val="0"/>
          <w:sz w:val="32"/>
          <w:szCs w:val="32"/>
          <w:highlight w:val="none"/>
          <w:lang w:eastAsia="zh-CN"/>
        </w:rPr>
      </w:pPr>
      <w:r>
        <w:rPr>
          <w:rFonts w:hint="eastAsia" w:ascii="方正小标宋简体" w:hAnsi="方正小标宋简体" w:eastAsia="方正小标宋简体" w:cs="方正小标宋简体"/>
          <w:b w:val="0"/>
          <w:bCs w:val="0"/>
          <w:spacing w:val="6"/>
          <w:sz w:val="32"/>
          <w:szCs w:val="32"/>
        </w:rPr>
        <w:t>《庄</w:t>
      </w:r>
      <w:r>
        <w:rPr>
          <w:rFonts w:hint="eastAsia" w:ascii="方正小标宋简体" w:hAnsi="方正小标宋简体" w:eastAsia="方正小标宋简体" w:cs="方正小标宋简体"/>
          <w:b w:val="0"/>
          <w:bCs w:val="0"/>
          <w:spacing w:val="6"/>
          <w:sz w:val="32"/>
          <w:szCs w:val="32"/>
          <w:highlight w:val="none"/>
        </w:rPr>
        <w:t>河市</w:t>
      </w:r>
      <w:r>
        <w:rPr>
          <w:rFonts w:hint="eastAsia" w:ascii="方正小标宋简体" w:hAnsi="方正小标宋简体" w:eastAsia="方正小标宋简体" w:cs="方正小标宋简体"/>
          <w:b w:val="0"/>
          <w:bCs w:val="0"/>
          <w:spacing w:val="6"/>
          <w:sz w:val="32"/>
          <w:szCs w:val="32"/>
          <w:highlight w:val="none"/>
          <w:lang w:eastAsia="zh-CN"/>
        </w:rPr>
        <w:t>吴炉</w:t>
      </w:r>
      <w:r>
        <w:rPr>
          <w:rFonts w:hint="eastAsia" w:ascii="方正小标宋简体" w:hAnsi="方正小标宋简体" w:eastAsia="方正小标宋简体" w:cs="方正小标宋简体"/>
          <w:b w:val="0"/>
          <w:bCs w:val="0"/>
          <w:spacing w:val="6"/>
          <w:sz w:val="32"/>
          <w:szCs w:val="32"/>
          <w:highlight w:val="none"/>
        </w:rPr>
        <w:t>镇</w:t>
      </w:r>
      <w:r>
        <w:rPr>
          <w:rFonts w:hint="eastAsia" w:ascii="方正小标宋简体" w:hAnsi="方正小标宋简体" w:eastAsia="方正小标宋简体" w:cs="方正小标宋简体"/>
          <w:b w:val="0"/>
          <w:bCs w:val="0"/>
          <w:spacing w:val="6"/>
          <w:sz w:val="32"/>
          <w:szCs w:val="32"/>
          <w:highlight w:val="none"/>
          <w:lang w:eastAsia="zh-CN"/>
        </w:rPr>
        <w:t>小房身</w:t>
      </w:r>
      <w:r>
        <w:rPr>
          <w:rFonts w:hint="eastAsia" w:ascii="方正小标宋简体" w:hAnsi="方正小标宋简体" w:eastAsia="方正小标宋简体" w:cs="方正小标宋简体"/>
          <w:b w:val="0"/>
          <w:bCs w:val="0"/>
          <w:spacing w:val="6"/>
          <w:sz w:val="32"/>
          <w:szCs w:val="32"/>
          <w:highlight w:val="none"/>
        </w:rPr>
        <w:t>村村庄规划（2021-2035年）》</w:t>
      </w:r>
      <w:r>
        <w:rPr>
          <w:rFonts w:hint="eastAsia" w:ascii="方正小标宋简体" w:hAnsi="方正小标宋简体" w:eastAsia="方正小标宋简体" w:cs="方正小标宋简体"/>
          <w:b w:val="0"/>
          <w:bCs w:val="0"/>
          <w:spacing w:val="6"/>
          <w:sz w:val="32"/>
          <w:szCs w:val="32"/>
          <w:highlight w:val="none"/>
          <w:lang w:eastAsia="zh-CN"/>
        </w:rPr>
        <w:t>公告</w:t>
      </w:r>
    </w:p>
    <w:p>
      <w:pPr>
        <w:spacing w:before="278" w:line="223" w:lineRule="auto"/>
        <w:ind w:left="44"/>
        <w:outlineLvl w:val="0"/>
        <w:rPr>
          <w:rFonts w:ascii="黑体" w:hAnsi="黑体" w:eastAsia="黑体" w:cs="黑体"/>
          <w:sz w:val="30"/>
          <w:szCs w:val="30"/>
          <w:highlight w:val="none"/>
        </w:rPr>
      </w:pPr>
      <w:r>
        <w:rPr>
          <w:rFonts w:ascii="黑体" w:hAnsi="黑体" w:eastAsia="黑体" w:cs="黑体"/>
          <w:b/>
          <w:bCs/>
          <w:spacing w:val="-10"/>
          <w:sz w:val="30"/>
          <w:szCs w:val="30"/>
          <w:highlight w:val="none"/>
        </w:rPr>
        <w:t>一、基本情况</w:t>
      </w:r>
      <w:bookmarkStart w:id="0" w:name="_GoBack"/>
      <w:bookmarkEnd w:id="0"/>
    </w:p>
    <w:p>
      <w:pPr>
        <w:pStyle w:val="2"/>
        <w:spacing w:before="167" w:line="222" w:lineRule="auto"/>
        <w:ind w:left="632"/>
      </w:pPr>
      <w:r>
        <w:rPr>
          <w:spacing w:val="-6"/>
        </w:rPr>
        <w:t>1.区域位置</w:t>
      </w:r>
    </w:p>
    <w:p>
      <w:pPr>
        <w:pStyle w:val="2"/>
        <w:spacing w:before="196" w:line="345" w:lineRule="auto"/>
        <w:ind w:left="18" w:firstLine="603"/>
        <w:rPr>
          <w:highlight w:val="none"/>
        </w:rPr>
      </w:pPr>
      <w:r>
        <w:rPr>
          <w:rFonts w:hint="eastAsia"/>
          <w:highlight w:val="none"/>
          <w:lang w:eastAsia="zh-CN"/>
        </w:rPr>
        <w:t>小房身村位于辽宁省大连市庄河市吴炉镇西部，</w:t>
      </w:r>
      <w:r>
        <w:rPr>
          <w:rFonts w:hint="eastAsia"/>
          <w:highlight w:val="none"/>
          <w:lang w:val="en-US" w:eastAsia="zh-CN"/>
        </w:rPr>
        <w:t>西与</w:t>
      </w:r>
      <w:r>
        <w:rPr>
          <w:rFonts w:hint="eastAsia"/>
          <w:highlight w:val="none"/>
          <w:lang w:eastAsia="zh-CN"/>
        </w:rPr>
        <w:t>徐岭镇、兰店乡</w:t>
      </w:r>
      <w:r>
        <w:rPr>
          <w:rFonts w:hint="eastAsia"/>
          <w:highlight w:val="none"/>
          <w:lang w:val="en-US" w:eastAsia="zh-CN"/>
        </w:rPr>
        <w:t>接壤</w:t>
      </w:r>
      <w:r>
        <w:rPr>
          <w:rFonts w:hint="eastAsia"/>
          <w:highlight w:val="none"/>
          <w:lang w:eastAsia="zh-CN"/>
        </w:rPr>
        <w:t>，东侧与</w:t>
      </w:r>
      <w:r>
        <w:rPr>
          <w:rFonts w:hint="eastAsia"/>
          <w:highlight w:val="none"/>
          <w:lang w:val="en-US" w:eastAsia="zh-CN"/>
        </w:rPr>
        <w:t>吴炉村、光华村</w:t>
      </w:r>
      <w:r>
        <w:rPr>
          <w:rFonts w:hint="eastAsia"/>
          <w:highlight w:val="none"/>
          <w:lang w:eastAsia="zh-CN"/>
        </w:rPr>
        <w:t>相邻，北侧与</w:t>
      </w:r>
      <w:r>
        <w:rPr>
          <w:rFonts w:hint="eastAsia"/>
          <w:highlight w:val="none"/>
          <w:lang w:val="en-US" w:eastAsia="zh-CN"/>
        </w:rPr>
        <w:t>曹隈</w:t>
      </w:r>
      <w:r>
        <w:rPr>
          <w:rFonts w:hint="eastAsia"/>
          <w:highlight w:val="none"/>
          <w:lang w:eastAsia="zh-CN"/>
        </w:rPr>
        <w:t>村，</w:t>
      </w:r>
      <w:r>
        <w:rPr>
          <w:rFonts w:hint="eastAsia"/>
          <w:highlight w:val="none"/>
          <w:lang w:val="en-US" w:eastAsia="zh-CN"/>
        </w:rPr>
        <w:t>南侧与三尖泡村</w:t>
      </w:r>
      <w:r>
        <w:rPr>
          <w:rFonts w:hint="eastAsia"/>
          <w:highlight w:val="none"/>
          <w:lang w:eastAsia="zh-CN"/>
        </w:rPr>
        <w:t>相接。村庄靠近吴炉镇与周边乡镇的交界地带，鹤大公路、</w:t>
      </w:r>
      <w:r>
        <w:rPr>
          <w:rFonts w:hint="eastAsia"/>
          <w:highlight w:val="none"/>
          <w:lang w:val="en-US" w:eastAsia="zh-CN"/>
        </w:rPr>
        <w:t>丹大高铁</w:t>
      </w:r>
      <w:r>
        <w:rPr>
          <w:rFonts w:hint="eastAsia"/>
          <w:highlight w:val="none"/>
          <w:lang w:eastAsia="zh-CN"/>
        </w:rPr>
        <w:t>从村域北部经过，</w:t>
      </w:r>
      <w:r>
        <w:rPr>
          <w:rFonts w:hint="eastAsia"/>
          <w:highlight w:val="none"/>
          <w:lang w:val="en-US" w:eastAsia="zh-CN"/>
        </w:rPr>
        <w:t>南部有</w:t>
      </w:r>
      <w:r>
        <w:rPr>
          <w:rFonts w:hint="default"/>
          <w:highlight w:val="none"/>
          <w:lang w:val="en-US" w:eastAsia="zh-CN"/>
        </w:rPr>
        <w:t>201</w:t>
      </w:r>
      <w:r>
        <w:rPr>
          <w:rFonts w:hint="eastAsia"/>
          <w:highlight w:val="none"/>
          <w:lang w:val="en-US" w:eastAsia="zh-CN"/>
        </w:rPr>
        <w:t>国道</w:t>
      </w:r>
      <w:r>
        <w:rPr>
          <w:rFonts w:hint="eastAsia"/>
          <w:highlight w:val="none"/>
          <w:lang w:eastAsia="zh-CN"/>
        </w:rPr>
        <w:t>，</w:t>
      </w:r>
      <w:r>
        <w:rPr>
          <w:highlight w:val="none"/>
        </w:rPr>
        <w:t>距离庄河市区约</w:t>
      </w:r>
      <w:r>
        <w:rPr>
          <w:rFonts w:hint="default"/>
          <w:highlight w:val="none"/>
          <w:lang w:val="en-US"/>
        </w:rPr>
        <w:t>1</w:t>
      </w:r>
      <w:r>
        <w:rPr>
          <w:highlight w:val="none"/>
        </w:rPr>
        <w:t>0</w:t>
      </w:r>
      <w:r>
        <w:rPr>
          <w:rFonts w:hint="eastAsia"/>
          <w:highlight w:val="none"/>
          <w:lang w:val="en-US" w:eastAsia="zh-CN"/>
        </w:rPr>
        <w:t>公里</w:t>
      </w:r>
      <w:r>
        <w:rPr>
          <w:rFonts w:hint="eastAsia" w:ascii="仿宋" w:hAnsi="仿宋" w:eastAsia="仿宋" w:cs="Times New Roman"/>
          <w:b w:val="0"/>
          <w:bCs w:val="0"/>
          <w:snapToGrid/>
          <w:kern w:val="2"/>
          <w:sz w:val="30"/>
          <w:szCs w:val="30"/>
          <w:lang w:val="en-US" w:eastAsia="zh-CN"/>
        </w:rPr>
        <w:t>。</w:t>
      </w:r>
      <w:r>
        <w:rPr>
          <w:rFonts w:hint="eastAsia"/>
          <w:highlight w:val="none"/>
          <w:lang w:eastAsia="zh-CN"/>
        </w:rPr>
        <w:t>交通较为便利。</w:t>
      </w:r>
    </w:p>
    <w:p>
      <w:pPr>
        <w:pStyle w:val="2"/>
        <w:spacing w:line="223" w:lineRule="auto"/>
        <w:ind w:left="613"/>
      </w:pPr>
      <w:r>
        <w:rPr>
          <w:spacing w:val="-3"/>
        </w:rPr>
        <w:t>2.规划范围</w:t>
      </w:r>
    </w:p>
    <w:p>
      <w:pPr>
        <w:pStyle w:val="2"/>
        <w:spacing w:before="196" w:line="345" w:lineRule="auto"/>
        <w:ind w:left="18" w:firstLine="603"/>
        <w:rPr>
          <w:rFonts w:hint="eastAsia"/>
          <w:highlight w:val="none"/>
          <w:lang w:eastAsia="zh-CN"/>
        </w:rPr>
      </w:pPr>
      <w:r>
        <w:rPr>
          <w:rFonts w:hint="eastAsia"/>
          <w:highlight w:val="none"/>
          <w:lang w:eastAsia="zh-CN"/>
        </w:rPr>
        <w:t>本次规划范围为小房身村行政辖区内全部国土空间，总面积为1</w:t>
      </w:r>
      <w:r>
        <w:rPr>
          <w:rFonts w:hint="eastAsia"/>
          <w:highlight w:val="none"/>
          <w:lang w:val="en-US" w:eastAsia="zh-CN"/>
        </w:rPr>
        <w:t>025.06</w:t>
      </w:r>
      <w:r>
        <w:rPr>
          <w:rFonts w:hint="eastAsia"/>
          <w:highlight w:val="none"/>
          <w:lang w:eastAsia="zh-CN"/>
        </w:rPr>
        <w:t xml:space="preserve"> 公顷。</w:t>
      </w:r>
    </w:p>
    <w:p>
      <w:pPr>
        <w:pStyle w:val="2"/>
        <w:spacing w:before="199" w:line="222" w:lineRule="auto"/>
        <w:ind w:left="616"/>
      </w:pPr>
      <w:r>
        <w:rPr>
          <w:spacing w:val="-3"/>
        </w:rPr>
        <w:t>3.规划期限</w:t>
      </w:r>
    </w:p>
    <w:p>
      <w:pPr>
        <w:pStyle w:val="2"/>
        <w:spacing w:before="198" w:line="222" w:lineRule="auto"/>
        <w:ind w:left="618"/>
      </w:pPr>
      <w:r>
        <w:rPr>
          <w:spacing w:val="-5"/>
        </w:rPr>
        <w:t>规划基期</w:t>
      </w:r>
      <w:r>
        <w:rPr>
          <w:spacing w:val="-58"/>
        </w:rPr>
        <w:t xml:space="preserve"> </w:t>
      </w:r>
      <w:r>
        <w:rPr>
          <w:spacing w:val="-5"/>
        </w:rPr>
        <w:t>2020</w:t>
      </w:r>
      <w:r>
        <w:rPr>
          <w:spacing w:val="-51"/>
        </w:rPr>
        <w:t xml:space="preserve"> </w:t>
      </w:r>
      <w:r>
        <w:rPr>
          <w:spacing w:val="-5"/>
        </w:rPr>
        <w:t>年，近期至</w:t>
      </w:r>
      <w:r>
        <w:rPr>
          <w:spacing w:val="-62"/>
        </w:rPr>
        <w:t xml:space="preserve"> </w:t>
      </w:r>
      <w:r>
        <w:rPr>
          <w:spacing w:val="-5"/>
        </w:rPr>
        <w:t>2025</w:t>
      </w:r>
      <w:r>
        <w:rPr>
          <w:spacing w:val="-48"/>
        </w:rPr>
        <w:t xml:space="preserve"> </w:t>
      </w:r>
      <w:r>
        <w:rPr>
          <w:spacing w:val="-5"/>
        </w:rPr>
        <w:t>年，远期至</w:t>
      </w:r>
      <w:r>
        <w:rPr>
          <w:spacing w:val="-62"/>
        </w:rPr>
        <w:t xml:space="preserve"> </w:t>
      </w:r>
      <w:r>
        <w:rPr>
          <w:spacing w:val="-5"/>
        </w:rPr>
        <w:t>2035</w:t>
      </w:r>
      <w:r>
        <w:rPr>
          <w:spacing w:val="-51"/>
        </w:rPr>
        <w:t xml:space="preserve"> </w:t>
      </w:r>
      <w:r>
        <w:rPr>
          <w:spacing w:val="-5"/>
        </w:rPr>
        <w:t>年。</w:t>
      </w:r>
    </w:p>
    <w:p>
      <w:pPr>
        <w:spacing w:before="244" w:line="222" w:lineRule="auto"/>
        <w:ind w:left="44"/>
        <w:outlineLvl w:val="0"/>
        <w:rPr>
          <w:rFonts w:ascii="黑体" w:hAnsi="黑体" w:eastAsia="黑体" w:cs="黑体"/>
          <w:sz w:val="30"/>
          <w:szCs w:val="30"/>
        </w:rPr>
      </w:pPr>
      <w:r>
        <w:rPr>
          <w:rFonts w:ascii="黑体" w:hAnsi="黑体" w:eastAsia="黑体" w:cs="黑体"/>
          <w:b/>
          <w:bCs/>
          <w:spacing w:val="-9"/>
          <w:sz w:val="30"/>
          <w:szCs w:val="30"/>
        </w:rPr>
        <w:t>二、国土空间管控</w:t>
      </w:r>
    </w:p>
    <w:p>
      <w:pPr>
        <w:pStyle w:val="2"/>
        <w:spacing w:before="196" w:line="345" w:lineRule="auto"/>
        <w:ind w:left="18" w:firstLine="603"/>
        <w:rPr>
          <w:rFonts w:hint="eastAsia"/>
          <w:highlight w:val="none"/>
          <w:lang w:eastAsia="zh-CN"/>
        </w:rPr>
      </w:pPr>
      <w:r>
        <w:rPr>
          <w:rFonts w:hint="eastAsia"/>
          <w:highlight w:val="none"/>
          <w:lang w:eastAsia="zh-CN"/>
        </w:rPr>
        <w:t>《庄河市吴炉镇国土空间总体规划（2021-2035 年）》将小房身村定位为</w:t>
      </w:r>
      <w:r>
        <w:rPr>
          <w:rFonts w:hint="eastAsia"/>
          <w:highlight w:val="none"/>
          <w:lang w:val="en-US" w:eastAsia="zh-CN"/>
        </w:rPr>
        <w:t>集聚建设类</w:t>
      </w:r>
      <w:r>
        <w:rPr>
          <w:rFonts w:hint="eastAsia"/>
          <w:highlight w:val="none"/>
          <w:lang w:eastAsia="zh-CN"/>
        </w:rPr>
        <w:t xml:space="preserve">村庄。约束性指标包括：永久基本农田面积 </w:t>
      </w:r>
      <w:r>
        <w:rPr>
          <w:rFonts w:hint="eastAsia"/>
          <w:highlight w:val="none"/>
          <w:lang w:val="en-US" w:eastAsia="zh-CN"/>
        </w:rPr>
        <w:t>539.15</w:t>
      </w:r>
      <w:r>
        <w:rPr>
          <w:rFonts w:hint="eastAsia"/>
          <w:highlight w:val="none"/>
          <w:lang w:eastAsia="zh-CN"/>
        </w:rPr>
        <w:t xml:space="preserve"> 公顷，耕地保有量 </w:t>
      </w:r>
      <w:r>
        <w:rPr>
          <w:rFonts w:hint="eastAsia"/>
          <w:highlight w:val="none"/>
          <w:lang w:val="en-US" w:eastAsia="zh-CN"/>
        </w:rPr>
        <w:t>562.91</w:t>
      </w:r>
      <w:r>
        <w:rPr>
          <w:rFonts w:hint="eastAsia"/>
          <w:highlight w:val="none"/>
          <w:lang w:eastAsia="zh-CN"/>
        </w:rPr>
        <w:t xml:space="preserve"> 公顷，</w:t>
      </w:r>
      <w:r>
        <w:rPr>
          <w:rFonts w:hint="eastAsia"/>
          <w:highlight w:val="none"/>
          <w:lang w:val="en-US" w:eastAsia="zh-CN"/>
        </w:rPr>
        <w:t>无</w:t>
      </w:r>
      <w:r>
        <w:rPr>
          <w:rFonts w:hint="eastAsia"/>
          <w:highlight w:val="none"/>
          <w:lang w:eastAsia="zh-CN"/>
        </w:rPr>
        <w:t>生态保护红线，</w:t>
      </w:r>
      <w:r>
        <w:rPr>
          <w:rFonts w:hint="eastAsia"/>
          <w:highlight w:val="none"/>
          <w:lang w:val="en-US" w:eastAsia="zh-CN"/>
        </w:rPr>
        <w:t>林地保有量105.23</w:t>
      </w:r>
      <w:r>
        <w:rPr>
          <w:rFonts w:hint="eastAsia"/>
          <w:highlight w:val="none"/>
          <w:lang w:eastAsia="zh-CN"/>
        </w:rPr>
        <w:t xml:space="preserve"> 公顷，村庄建设边界面积 1</w:t>
      </w:r>
      <w:r>
        <w:rPr>
          <w:rFonts w:hint="eastAsia"/>
          <w:highlight w:val="none"/>
          <w:lang w:val="en-US" w:eastAsia="zh-CN"/>
        </w:rPr>
        <w:t>05.30</w:t>
      </w:r>
      <w:r>
        <w:rPr>
          <w:rFonts w:hint="eastAsia"/>
          <w:highlight w:val="none"/>
          <w:lang w:eastAsia="zh-CN"/>
        </w:rPr>
        <w:t xml:space="preserve"> 公顷。</w:t>
      </w:r>
    </w:p>
    <w:p>
      <w:pPr>
        <w:pStyle w:val="2"/>
        <w:spacing w:before="196" w:line="345" w:lineRule="auto"/>
        <w:ind w:left="18" w:firstLine="603"/>
        <w:rPr>
          <w:rFonts w:hint="eastAsia"/>
          <w:highlight w:val="none"/>
          <w:lang w:eastAsia="zh-CN"/>
        </w:rPr>
      </w:pPr>
      <w:r>
        <w:rPr>
          <w:rFonts w:hint="eastAsia"/>
          <w:highlight w:val="none"/>
          <w:lang w:eastAsia="zh-CN"/>
        </w:rPr>
        <w:t>1.保障农业空间</w:t>
      </w:r>
    </w:p>
    <w:p>
      <w:pPr>
        <w:pStyle w:val="2"/>
        <w:spacing w:before="196" w:line="345" w:lineRule="auto"/>
        <w:ind w:left="18" w:firstLine="603"/>
        <w:rPr>
          <w:rFonts w:hint="eastAsia"/>
          <w:highlight w:val="none"/>
          <w:lang w:eastAsia="zh-CN"/>
        </w:rPr>
      </w:pPr>
      <w:r>
        <w:rPr>
          <w:rFonts w:hint="eastAsia"/>
          <w:highlight w:val="none"/>
          <w:lang w:eastAsia="zh-CN"/>
        </w:rPr>
        <w:t>农业空间是以农、林业生产为主要功能的国土空间。小房身村农业空间由基本农田、一般农业生产区构成。小房身村农业空间面积约 750.70 公顷。</w:t>
      </w:r>
    </w:p>
    <w:p>
      <w:pPr>
        <w:pStyle w:val="2"/>
        <w:spacing w:before="196" w:line="345" w:lineRule="auto"/>
        <w:ind w:left="18" w:firstLine="603"/>
        <w:rPr>
          <w:rFonts w:hint="eastAsia"/>
          <w:highlight w:val="none"/>
          <w:lang w:eastAsia="zh-CN"/>
        </w:rPr>
      </w:pPr>
      <w:r>
        <w:rPr>
          <w:rFonts w:hint="eastAsia"/>
          <w:highlight w:val="none"/>
          <w:lang w:eastAsia="zh-CN"/>
        </w:rPr>
        <w:t>严格落实上位规划永久基本农田保护红线，确保落地，确认边界。按照《基本农田保护条例》管理，防止永久基本农田“非农化”“非粮化”。村庄建设不得占用或改变其用途。鼓励开展高标准农田建设，提高永久基本农田质量。</w:t>
      </w:r>
    </w:p>
    <w:p>
      <w:pPr>
        <w:pStyle w:val="2"/>
        <w:spacing w:before="196" w:line="345" w:lineRule="auto"/>
        <w:ind w:left="18" w:firstLine="603"/>
        <w:rPr>
          <w:rFonts w:hint="eastAsia"/>
          <w:highlight w:val="none"/>
          <w:lang w:eastAsia="zh-CN"/>
        </w:rPr>
      </w:pPr>
      <w:r>
        <w:rPr>
          <w:rFonts w:hint="eastAsia"/>
          <w:highlight w:val="none"/>
          <w:lang w:eastAsia="zh-CN"/>
        </w:rPr>
        <w:t>转落上位规划下达的粮食生产功能区和重要农产品生产保护区划定成果，引导村民按照“两区”要求开展种植活动。优先推进在“两区”内开展高标准农田建设，提高耕地质量和产能。</w:t>
      </w:r>
    </w:p>
    <w:p>
      <w:pPr>
        <w:pStyle w:val="2"/>
        <w:spacing w:before="196" w:line="345" w:lineRule="auto"/>
        <w:ind w:left="18" w:firstLine="603"/>
        <w:rPr>
          <w:rFonts w:hint="eastAsia"/>
          <w:highlight w:val="none"/>
          <w:lang w:eastAsia="zh-CN"/>
        </w:rPr>
      </w:pPr>
      <w:r>
        <w:rPr>
          <w:rFonts w:hint="eastAsia"/>
          <w:highlight w:val="none"/>
          <w:lang w:eastAsia="zh-CN"/>
        </w:rPr>
        <w:t>落实耕地保护图斑，统筹安排其他一般耕地，坚持农地农用，稳定粮食播种面积，鼓励发展多功能复合、多业态融合的绿色高效农业。</w:t>
      </w:r>
    </w:p>
    <w:p>
      <w:pPr>
        <w:pStyle w:val="2"/>
        <w:spacing w:before="196" w:line="345" w:lineRule="auto"/>
        <w:ind w:left="18" w:firstLine="603"/>
        <w:rPr>
          <w:rFonts w:hint="eastAsia"/>
          <w:highlight w:val="none"/>
          <w:lang w:eastAsia="zh-CN"/>
        </w:rPr>
      </w:pPr>
      <w:r>
        <w:rPr>
          <w:rFonts w:hint="eastAsia"/>
          <w:highlight w:val="none"/>
          <w:lang w:eastAsia="zh-CN"/>
        </w:rPr>
        <w:t>引导形成果蔬种植与特色生态农业、乡村休闲旅游、观光农业融合发展的现代农业基地。尽量利用未利用地等非耕地、农村闲置设施农业用地及存量利用效率低下的建设用地发展设施农业。</w:t>
      </w:r>
    </w:p>
    <w:p>
      <w:pPr>
        <w:pStyle w:val="2"/>
        <w:spacing w:before="196" w:line="345" w:lineRule="auto"/>
        <w:ind w:left="18" w:firstLine="603"/>
        <w:rPr>
          <w:rFonts w:hint="eastAsia"/>
          <w:highlight w:val="none"/>
          <w:lang w:eastAsia="zh-CN"/>
        </w:rPr>
      </w:pPr>
      <w:r>
        <w:rPr>
          <w:rFonts w:hint="eastAsia"/>
          <w:highlight w:val="none"/>
          <w:lang w:eastAsia="zh-CN"/>
        </w:rPr>
        <w:t>优化设置田间道，保障农田耕作、农业物资运输等现代化农业生产活动。田间道宽度宜 3-6 米；以步行为主的生产路，宽度控制 1.5-3 米，可结合花田、</w:t>
      </w:r>
      <w:r>
        <w:rPr>
          <w:rFonts w:hint="eastAsia"/>
          <w:highlight w:val="none"/>
          <w:lang w:val="en-US" w:eastAsia="zh-CN"/>
        </w:rPr>
        <w:t>蛤蜊河</w:t>
      </w:r>
      <w:r>
        <w:rPr>
          <w:rFonts w:hint="eastAsia"/>
          <w:highlight w:val="none"/>
          <w:lang w:eastAsia="zh-CN"/>
        </w:rPr>
        <w:t>、</w:t>
      </w:r>
      <w:r>
        <w:rPr>
          <w:rFonts w:hint="eastAsia"/>
          <w:highlight w:val="none"/>
          <w:lang w:val="en-US" w:eastAsia="zh-CN"/>
        </w:rPr>
        <w:t>高堡水库、</w:t>
      </w:r>
      <w:r>
        <w:rPr>
          <w:rFonts w:hint="eastAsia"/>
          <w:highlight w:val="none"/>
          <w:lang w:eastAsia="zh-CN"/>
        </w:rPr>
        <w:t>历史文化旅游景点建设步行慢道。</w:t>
      </w:r>
    </w:p>
    <w:p>
      <w:pPr>
        <w:pStyle w:val="2"/>
        <w:spacing w:before="196" w:line="345" w:lineRule="auto"/>
        <w:ind w:left="18" w:firstLine="603"/>
        <w:rPr>
          <w:rFonts w:hint="eastAsia"/>
          <w:highlight w:val="none"/>
          <w:lang w:eastAsia="zh-CN"/>
        </w:rPr>
      </w:pPr>
      <w:r>
        <w:rPr>
          <w:rFonts w:hint="eastAsia"/>
          <w:highlight w:val="none"/>
          <w:lang w:eastAsia="zh-CN"/>
        </w:rPr>
        <w:t>2.保护生态空间</w:t>
      </w:r>
    </w:p>
    <w:p>
      <w:pPr>
        <w:pStyle w:val="2"/>
        <w:spacing w:before="196" w:line="345" w:lineRule="auto"/>
        <w:ind w:left="18" w:firstLine="603"/>
        <w:rPr>
          <w:rFonts w:hint="eastAsia"/>
          <w:highlight w:val="none"/>
          <w:lang w:eastAsia="zh-CN"/>
        </w:rPr>
      </w:pPr>
      <w:r>
        <w:rPr>
          <w:rFonts w:hint="eastAsia"/>
          <w:highlight w:val="none"/>
          <w:lang w:eastAsia="zh-CN"/>
        </w:rPr>
        <w:t>生态空间是指以提供生态产品或生态保护为主要功能的空间。小房身村生态空间由草地和陆地水域等部分构成。小房身村生态空间面积约 148.32 公顷，</w:t>
      </w:r>
      <w:r>
        <w:rPr>
          <w:rFonts w:hint="eastAsia"/>
          <w:highlight w:val="none"/>
          <w:lang w:val="en-US" w:eastAsia="zh-CN"/>
        </w:rPr>
        <w:t>无生态保护红线</w:t>
      </w:r>
      <w:r>
        <w:rPr>
          <w:rFonts w:hint="eastAsia"/>
          <w:highlight w:val="none"/>
          <w:lang w:eastAsia="zh-CN"/>
        </w:rPr>
        <w:t>。</w:t>
      </w:r>
    </w:p>
    <w:p>
      <w:pPr>
        <w:pStyle w:val="2"/>
        <w:spacing w:before="196" w:line="345" w:lineRule="auto"/>
        <w:ind w:left="18" w:firstLine="603"/>
        <w:rPr>
          <w:rFonts w:hint="eastAsia"/>
          <w:highlight w:val="none"/>
          <w:lang w:eastAsia="zh-CN"/>
        </w:rPr>
      </w:pPr>
      <w:r>
        <w:rPr>
          <w:rFonts w:hint="eastAsia"/>
          <w:highlight w:val="none"/>
          <w:lang w:eastAsia="zh-CN"/>
        </w:rPr>
        <w:t>在生态保护红线以外，将村域内重要的林地、草地、河流等划入一般生态空间，实行重点保护。陆地水域。加强周边水体污染防护，控制农业生产污染防治。</w:t>
      </w:r>
    </w:p>
    <w:p>
      <w:pPr>
        <w:pStyle w:val="2"/>
        <w:spacing w:before="196" w:line="345" w:lineRule="auto"/>
        <w:ind w:left="18" w:firstLine="603"/>
        <w:rPr>
          <w:rFonts w:hint="eastAsia"/>
          <w:highlight w:val="none"/>
          <w:lang w:eastAsia="zh-CN"/>
        </w:rPr>
      </w:pPr>
      <w:r>
        <w:rPr>
          <w:rFonts w:hint="eastAsia"/>
          <w:highlight w:val="none"/>
          <w:lang w:eastAsia="zh-CN"/>
        </w:rPr>
        <w:t>3.优化建设空间</w:t>
      </w:r>
    </w:p>
    <w:p>
      <w:pPr>
        <w:pStyle w:val="2"/>
        <w:spacing w:before="196" w:line="345" w:lineRule="auto"/>
        <w:ind w:left="18" w:firstLine="603"/>
        <w:rPr>
          <w:rFonts w:hint="eastAsia"/>
          <w:highlight w:val="none"/>
          <w:lang w:eastAsia="zh-CN"/>
        </w:rPr>
      </w:pPr>
      <w:r>
        <w:rPr>
          <w:rFonts w:hint="eastAsia"/>
          <w:highlight w:val="none"/>
          <w:lang w:eastAsia="zh-CN"/>
        </w:rPr>
        <w:t>根据《庄河市吴炉镇国土空间总体规划（2021-2035 年）》，小房身村村庄建设边界现状保留区 102.88公顷。规划新增区 2.41 公顷，</w:t>
      </w:r>
      <w:r>
        <w:rPr>
          <w:rFonts w:hint="eastAsia"/>
          <w:highlight w:val="none"/>
          <w:lang w:val="en-US" w:eastAsia="zh-CN"/>
        </w:rPr>
        <w:t>为</w:t>
      </w:r>
      <w:r>
        <w:rPr>
          <w:rFonts w:hint="eastAsia"/>
          <w:highlight w:val="none"/>
          <w:lang w:eastAsia="zh-CN"/>
        </w:rPr>
        <w:t>乡村振兴重点项目、新增宅基地和村庄未来发展确需占用的地块，规划新增区</w:t>
      </w:r>
      <w:r>
        <w:rPr>
          <w:rFonts w:hint="eastAsia"/>
          <w:highlight w:val="none"/>
          <w:lang w:val="en-US" w:eastAsia="zh-CN"/>
        </w:rPr>
        <w:t>建设用地</w:t>
      </w:r>
      <w:r>
        <w:rPr>
          <w:rFonts w:hint="eastAsia"/>
          <w:highlight w:val="none"/>
          <w:lang w:eastAsia="zh-CN"/>
        </w:rPr>
        <w:t>，</w:t>
      </w:r>
      <w:r>
        <w:rPr>
          <w:rFonts w:hint="eastAsia"/>
          <w:highlight w:val="none"/>
          <w:lang w:val="en-US" w:eastAsia="zh-CN"/>
        </w:rPr>
        <w:t>均于</w:t>
      </w:r>
      <w:r>
        <w:rPr>
          <w:rFonts w:hint="eastAsia"/>
          <w:highlight w:val="none"/>
          <w:lang w:eastAsia="zh-CN"/>
        </w:rPr>
        <w:t>乡村建设项目。</w:t>
      </w:r>
    </w:p>
    <w:p>
      <w:pPr>
        <w:spacing w:before="46" w:line="221" w:lineRule="auto"/>
        <w:ind w:left="46"/>
        <w:outlineLvl w:val="0"/>
        <w:rPr>
          <w:rFonts w:ascii="黑体" w:hAnsi="黑体" w:eastAsia="黑体" w:cs="黑体"/>
          <w:sz w:val="30"/>
          <w:szCs w:val="30"/>
        </w:rPr>
      </w:pPr>
      <w:r>
        <w:rPr>
          <w:rFonts w:ascii="黑体" w:hAnsi="黑体" w:eastAsia="黑体" w:cs="黑体"/>
          <w:b/>
          <w:bCs/>
          <w:spacing w:val="-9"/>
          <w:sz w:val="30"/>
          <w:szCs w:val="30"/>
        </w:rPr>
        <w:t>三、村域空间发展规划</w:t>
      </w:r>
    </w:p>
    <w:p>
      <w:pPr>
        <w:pStyle w:val="2"/>
        <w:spacing w:before="169" w:line="224" w:lineRule="auto"/>
        <w:ind w:left="632"/>
      </w:pPr>
      <w:r>
        <w:rPr>
          <w:spacing w:val="-6"/>
        </w:rPr>
        <w:t>1.产业发展</w:t>
      </w:r>
    </w:p>
    <w:p>
      <w:pPr>
        <w:pStyle w:val="2"/>
        <w:spacing w:before="196" w:line="345" w:lineRule="auto"/>
        <w:ind w:left="18" w:firstLine="603"/>
        <w:rPr>
          <w:rFonts w:hint="eastAsia"/>
          <w:highlight w:val="none"/>
          <w:lang w:eastAsia="zh-CN"/>
        </w:rPr>
      </w:pPr>
      <w:r>
        <w:rPr>
          <w:rFonts w:hint="eastAsia"/>
          <w:highlight w:val="none"/>
          <w:lang w:eastAsia="zh-CN"/>
        </w:rPr>
        <w:t>小房身村将以以农业为主导，工业和服务业配合发展的产业发展模式，协调“生态、生产、生活”三大空间，统筹城乡一体化发展，最终着力打造成为吴炉镇“以现代化农业种植为依托，加工制造业为辅助，绿色休闲农业和乡村体验农游为特色”的集聚建设类村庄。</w:t>
      </w:r>
    </w:p>
    <w:p>
      <w:pPr>
        <w:pStyle w:val="2"/>
        <w:spacing w:line="223" w:lineRule="auto"/>
        <w:ind w:left="613"/>
      </w:pPr>
      <w:r>
        <w:rPr>
          <w:spacing w:val="-3"/>
        </w:rPr>
        <w:t>2.人口规模</w:t>
      </w:r>
    </w:p>
    <w:p>
      <w:pPr>
        <w:pStyle w:val="2"/>
        <w:spacing w:before="196" w:line="345" w:lineRule="auto"/>
        <w:ind w:left="18" w:firstLine="603"/>
        <w:rPr>
          <w:rFonts w:hint="eastAsia"/>
          <w:highlight w:val="none"/>
          <w:lang w:eastAsia="zh-CN"/>
        </w:rPr>
      </w:pPr>
      <w:r>
        <w:rPr>
          <w:rFonts w:hint="eastAsia"/>
          <w:highlight w:val="none"/>
          <w:lang w:eastAsia="zh-CN"/>
        </w:rPr>
        <w:t>至规划期末2035年，常住人口</w:t>
      </w:r>
      <w:r>
        <w:rPr>
          <w:rFonts w:hint="eastAsia"/>
          <w:highlight w:val="none"/>
          <w:lang w:val="en-US" w:eastAsia="zh-CN"/>
        </w:rPr>
        <w:t>1800</w:t>
      </w:r>
      <w:r>
        <w:rPr>
          <w:rFonts w:hint="eastAsia"/>
          <w:highlight w:val="none"/>
          <w:lang w:eastAsia="zh-CN"/>
        </w:rPr>
        <w:t>人，户数约</w:t>
      </w:r>
      <w:r>
        <w:rPr>
          <w:rFonts w:hint="eastAsia"/>
          <w:highlight w:val="none"/>
          <w:lang w:val="en-US" w:eastAsia="zh-CN"/>
        </w:rPr>
        <w:t>834</w:t>
      </w:r>
      <w:r>
        <w:rPr>
          <w:rFonts w:hint="eastAsia"/>
          <w:highlight w:val="none"/>
          <w:lang w:eastAsia="zh-CN"/>
        </w:rPr>
        <w:t>户。</w:t>
      </w:r>
    </w:p>
    <w:p>
      <w:pPr>
        <w:pStyle w:val="2"/>
        <w:spacing w:before="199" w:line="220" w:lineRule="auto"/>
        <w:ind w:left="616"/>
      </w:pPr>
      <w:r>
        <w:rPr>
          <w:spacing w:val="-3"/>
        </w:rPr>
        <w:t>3.空间发展布局</w:t>
      </w:r>
    </w:p>
    <w:p>
      <w:pPr>
        <w:pStyle w:val="2"/>
        <w:spacing w:before="196" w:line="345" w:lineRule="auto"/>
        <w:ind w:left="18" w:firstLine="603"/>
        <w:rPr>
          <w:rFonts w:hint="eastAsia"/>
          <w:highlight w:val="none"/>
          <w:lang w:eastAsia="zh-CN"/>
        </w:rPr>
      </w:pPr>
      <w:r>
        <w:rPr>
          <w:rFonts w:hint="eastAsia"/>
          <w:highlight w:val="none"/>
          <w:lang w:eastAsia="zh-CN"/>
        </w:rPr>
        <w:t>规划构建规划形成“一轴两带五片区”的总体布局。</w:t>
      </w:r>
    </w:p>
    <w:p>
      <w:pPr>
        <w:pStyle w:val="2"/>
        <w:spacing w:before="196" w:line="345" w:lineRule="auto"/>
        <w:ind w:left="18" w:firstLine="603"/>
        <w:rPr>
          <w:rFonts w:hint="eastAsia"/>
          <w:highlight w:val="none"/>
          <w:lang w:eastAsia="zh-CN"/>
        </w:rPr>
      </w:pPr>
      <w:r>
        <w:rPr>
          <w:rFonts w:hint="eastAsia"/>
          <w:highlight w:val="none"/>
          <w:lang w:eastAsia="zh-CN"/>
        </w:rPr>
        <w:t>一轴：以现有空产业布局为依托，向村庄南、北部延伸出的一条村域综合发展轴。</w:t>
      </w:r>
    </w:p>
    <w:p>
      <w:pPr>
        <w:pStyle w:val="2"/>
        <w:spacing w:before="196" w:line="345" w:lineRule="auto"/>
        <w:ind w:left="18" w:firstLine="603"/>
        <w:rPr>
          <w:rFonts w:hint="eastAsia"/>
          <w:highlight w:val="none"/>
          <w:lang w:eastAsia="zh-CN"/>
        </w:rPr>
      </w:pPr>
      <w:r>
        <w:rPr>
          <w:rFonts w:hint="eastAsia"/>
          <w:highlight w:val="none"/>
          <w:lang w:eastAsia="zh-CN"/>
        </w:rPr>
        <w:t>两带：结合东西走向的公路和铁路线形成两条村域经济发展轴，串联起村庄多个片区，发挥公路线路对小房身村产业发展的带动作用。</w:t>
      </w:r>
    </w:p>
    <w:p>
      <w:pPr>
        <w:pStyle w:val="2"/>
        <w:spacing w:before="196" w:line="345" w:lineRule="auto"/>
        <w:ind w:left="18" w:firstLine="603"/>
        <w:rPr>
          <w:rFonts w:hint="eastAsia"/>
          <w:highlight w:val="none"/>
          <w:lang w:eastAsia="zh-CN"/>
        </w:rPr>
      </w:pPr>
      <w:r>
        <w:rPr>
          <w:rFonts w:hint="eastAsia"/>
          <w:highlight w:val="none"/>
          <w:lang w:eastAsia="zh-CN"/>
        </w:rPr>
        <w:t>五片区：规划形成“村庄综合发展区、南部工业发展区、北部、西部、东部农业种植区”多个发展片区。</w:t>
      </w:r>
    </w:p>
    <w:p>
      <w:pPr>
        <w:spacing w:before="41" w:line="222" w:lineRule="auto"/>
        <w:ind w:left="57"/>
        <w:outlineLvl w:val="0"/>
        <w:rPr>
          <w:rFonts w:ascii="黑体" w:hAnsi="黑体" w:eastAsia="黑体" w:cs="黑体"/>
          <w:sz w:val="30"/>
          <w:szCs w:val="30"/>
        </w:rPr>
      </w:pPr>
      <w:r>
        <w:rPr>
          <w:rFonts w:ascii="黑体" w:hAnsi="黑体" w:eastAsia="黑体" w:cs="黑体"/>
          <w:b/>
          <w:bCs/>
          <w:spacing w:val="-10"/>
          <w:sz w:val="30"/>
          <w:szCs w:val="30"/>
        </w:rPr>
        <w:t>四、人居环境整治规划</w:t>
      </w:r>
    </w:p>
    <w:p>
      <w:pPr>
        <w:pStyle w:val="2"/>
        <w:spacing w:before="196" w:line="345" w:lineRule="auto"/>
        <w:ind w:left="18" w:firstLine="603"/>
        <w:rPr>
          <w:rFonts w:hint="eastAsia"/>
          <w:highlight w:val="none"/>
          <w:lang w:eastAsia="zh-CN"/>
        </w:rPr>
      </w:pPr>
      <w:r>
        <w:rPr>
          <w:rFonts w:hint="eastAsia"/>
          <w:highlight w:val="none"/>
          <w:lang w:eastAsia="zh-CN"/>
        </w:rPr>
        <w:t>人居环境整治主要对象是规划中已经集中布局的村庄居民点，结合农民生产生活方式，从道路硬化、重点区域亮化、净化整治、绿化景观整治、等角度对村庄人居环境进行规划设计。</w:t>
      </w:r>
    </w:p>
    <w:p>
      <w:pPr>
        <w:spacing w:before="43" w:line="222" w:lineRule="auto"/>
        <w:ind w:left="48"/>
        <w:outlineLvl w:val="0"/>
        <w:rPr>
          <w:rFonts w:ascii="黑体" w:hAnsi="黑体" w:eastAsia="黑体" w:cs="黑体"/>
          <w:sz w:val="30"/>
          <w:szCs w:val="30"/>
        </w:rPr>
      </w:pPr>
      <w:r>
        <w:rPr>
          <w:rFonts w:ascii="黑体" w:hAnsi="黑体" w:eastAsia="黑体" w:cs="黑体"/>
          <w:b/>
          <w:bCs/>
          <w:spacing w:val="-10"/>
          <w:sz w:val="30"/>
          <w:szCs w:val="30"/>
        </w:rPr>
        <w:t>五、近期整治规划</w:t>
      </w:r>
    </w:p>
    <w:p>
      <w:pPr>
        <w:pStyle w:val="2"/>
        <w:spacing w:before="196" w:line="345" w:lineRule="auto"/>
        <w:ind w:left="18" w:firstLine="603"/>
        <w:rPr>
          <w:rFonts w:hint="eastAsia"/>
          <w:highlight w:val="none"/>
          <w:lang w:eastAsia="zh-CN"/>
        </w:rPr>
      </w:pPr>
      <w:r>
        <w:rPr>
          <w:rFonts w:hint="eastAsia"/>
          <w:highlight w:val="none"/>
          <w:lang w:eastAsia="zh-CN"/>
        </w:rPr>
        <w:t>针对小房身村实际建设需求、居民生产生活和生态保护面临的迫切问题，近期实施项目可分为土地综合整治项目、产业发展项目、公用设施项目、公共服务项目、其他项目五类。</w:t>
      </w:r>
    </w:p>
    <w:p>
      <w:pPr>
        <w:pStyle w:val="2"/>
        <w:spacing w:before="196" w:line="345" w:lineRule="auto"/>
        <w:ind w:left="18" w:firstLine="603"/>
        <w:rPr>
          <w:rFonts w:hint="eastAsia"/>
          <w:highlight w:val="none"/>
          <w:lang w:eastAsia="zh-CN"/>
        </w:rPr>
        <w:sectPr>
          <w:footerReference r:id="rId5" w:type="default"/>
          <w:pgSz w:w="11906" w:h="16840"/>
          <w:pgMar w:top="1431" w:right="1389" w:bottom="1100" w:left="1785" w:header="0" w:footer="931" w:gutter="0"/>
          <w:cols w:space="720" w:num="1"/>
        </w:sectPr>
      </w:pPr>
    </w:p>
    <w:p>
      <w:pPr>
        <w:spacing w:before="61" w:line="222" w:lineRule="auto"/>
        <w:ind w:left="49"/>
        <w:outlineLvl w:val="0"/>
        <w:rPr>
          <w:rFonts w:ascii="黑体" w:hAnsi="黑体" w:eastAsia="黑体" w:cs="黑体"/>
          <w:sz w:val="30"/>
          <w:szCs w:val="30"/>
        </w:rPr>
      </w:pPr>
      <w:r>
        <w:rPr>
          <w:rFonts w:ascii="黑体" w:hAnsi="黑体" w:eastAsia="黑体" w:cs="黑体"/>
          <w:b/>
          <w:bCs/>
          <w:spacing w:val="-11"/>
          <w:sz w:val="30"/>
          <w:szCs w:val="30"/>
        </w:rPr>
        <w:t>六、附图</w:t>
      </w:r>
    </w:p>
    <w:p>
      <w:pPr>
        <w:pStyle w:val="2"/>
        <w:spacing w:before="166" w:line="222" w:lineRule="auto"/>
        <w:ind w:left="632"/>
        <w:rPr>
          <w:spacing w:val="-7"/>
        </w:rPr>
      </w:pPr>
      <w:r>
        <w:rPr>
          <w:spacing w:val="-7"/>
        </w:rPr>
        <w:t>1.区位图</w:t>
      </w:r>
    </w:p>
    <w:p>
      <w:pPr>
        <w:pStyle w:val="2"/>
        <w:spacing w:before="166" w:line="222" w:lineRule="auto"/>
      </w:pPr>
      <w:r>
        <w:rPr>
          <w:rFonts w:hint="eastAsia" w:eastAsia="宋体"/>
          <w:lang w:eastAsia="zh-CN"/>
        </w:rPr>
        <w:drawing>
          <wp:inline distT="0" distB="0" distL="114300" distR="114300">
            <wp:extent cx="5642610" cy="3987800"/>
            <wp:effectExtent l="0" t="0" r="15240" b="12700"/>
            <wp:docPr id="1" name="图片 1" descr="小房身村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小房身村区位示意图"/>
                    <pic:cNvPicPr>
                      <a:picLocks noChangeAspect="1"/>
                    </pic:cNvPicPr>
                  </pic:nvPicPr>
                  <pic:blipFill>
                    <a:blip r:embed="rId12"/>
                    <a:stretch>
                      <a:fillRect/>
                    </a:stretch>
                  </pic:blipFill>
                  <pic:spPr>
                    <a:xfrm>
                      <a:off x="0" y="0"/>
                      <a:ext cx="5642610" cy="3987800"/>
                    </a:xfrm>
                    <a:prstGeom prst="rect">
                      <a:avLst/>
                    </a:prstGeom>
                  </pic:spPr>
                </pic:pic>
              </a:graphicData>
            </a:graphic>
          </wp:inline>
        </w:drawing>
      </w:r>
    </w:p>
    <w:p>
      <w:pPr>
        <w:spacing w:line="12281" w:lineRule="exact"/>
        <w:sectPr>
          <w:footerReference r:id="rId6" w:type="default"/>
          <w:pgSz w:w="11906" w:h="16840"/>
          <w:pgMar w:top="1393" w:right="1221" w:bottom="1156" w:left="1785" w:header="0" w:footer="910" w:gutter="0"/>
          <w:cols w:space="720" w:num="1"/>
        </w:sectPr>
      </w:pPr>
    </w:p>
    <w:p>
      <w:pPr>
        <w:pStyle w:val="2"/>
        <w:numPr>
          <w:ilvl w:val="0"/>
          <w:numId w:val="1"/>
        </w:numPr>
        <w:spacing w:before="61" w:line="211" w:lineRule="auto"/>
        <w:ind w:left="14"/>
        <w:rPr>
          <w:spacing w:val="-2"/>
        </w:rPr>
      </w:pPr>
      <w:r>
        <w:rPr>
          <w:spacing w:val="-2"/>
        </w:rPr>
        <w:t>各类控制线管控图</w:t>
      </w:r>
    </w:p>
    <w:p>
      <w:pPr>
        <w:pStyle w:val="2"/>
        <w:numPr>
          <w:ilvl w:val="0"/>
          <w:numId w:val="0"/>
        </w:numPr>
        <w:spacing w:before="61" w:line="211" w:lineRule="auto"/>
        <w:sectPr>
          <w:footerReference r:id="rId7" w:type="default"/>
          <w:pgSz w:w="11906" w:h="16840"/>
          <w:pgMar w:top="1414" w:right="1092" w:bottom="1156" w:left="1784" w:header="0" w:footer="910" w:gutter="0"/>
          <w:cols w:space="720" w:num="1"/>
        </w:sectPr>
      </w:pPr>
      <w:r>
        <w:rPr>
          <w:rFonts w:hint="eastAsia" w:eastAsia="宋体"/>
          <w:lang w:eastAsia="zh-CN"/>
        </w:rPr>
        <w:drawing>
          <wp:inline distT="0" distB="0" distL="114300" distR="114300">
            <wp:extent cx="5710555" cy="4036060"/>
            <wp:effectExtent l="0" t="0" r="4445" b="2540"/>
            <wp:docPr id="2" name="图片 2" descr="小房身村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小房身村各类控制线管控图"/>
                    <pic:cNvPicPr>
                      <a:picLocks noChangeAspect="1"/>
                    </pic:cNvPicPr>
                  </pic:nvPicPr>
                  <pic:blipFill>
                    <a:blip r:embed="rId13"/>
                    <a:stretch>
                      <a:fillRect/>
                    </a:stretch>
                  </pic:blipFill>
                  <pic:spPr>
                    <a:xfrm>
                      <a:off x="0" y="0"/>
                      <a:ext cx="5710555" cy="4036060"/>
                    </a:xfrm>
                    <a:prstGeom prst="rect">
                      <a:avLst/>
                    </a:prstGeom>
                  </pic:spPr>
                </pic:pic>
              </a:graphicData>
            </a:graphic>
          </wp:inline>
        </w:drawing>
      </w:r>
    </w:p>
    <w:p>
      <w:pPr>
        <w:pStyle w:val="2"/>
        <w:numPr>
          <w:ilvl w:val="0"/>
          <w:numId w:val="1"/>
        </w:numPr>
        <w:spacing w:before="190" w:line="222" w:lineRule="auto"/>
        <w:ind w:left="14" w:leftChars="0" w:firstLine="0" w:firstLineChars="0"/>
        <w:rPr>
          <w:spacing w:val="-1"/>
        </w:rPr>
      </w:pPr>
      <w:r>
        <w:rPr>
          <w:spacing w:val="-2"/>
        </w:rPr>
        <w:t>村域空间结构规划图</w:t>
      </w:r>
    </w:p>
    <w:p>
      <w:pPr>
        <w:pStyle w:val="2"/>
        <w:numPr>
          <w:ilvl w:val="0"/>
          <w:numId w:val="0"/>
        </w:numPr>
        <w:spacing w:before="190" w:line="222" w:lineRule="auto"/>
        <w:ind w:left="14" w:leftChars="0"/>
        <w:rPr>
          <w:rFonts w:hint="eastAsia" w:eastAsia="仿宋"/>
          <w:spacing w:val="-1"/>
          <w:lang w:eastAsia="zh-CN"/>
        </w:rPr>
      </w:pPr>
      <w:r>
        <w:rPr>
          <w:rFonts w:hint="eastAsia" w:eastAsia="仿宋"/>
          <w:spacing w:val="-1"/>
          <w:lang w:eastAsia="zh-CN"/>
        </w:rPr>
        <w:drawing>
          <wp:inline distT="0" distB="0" distL="114300" distR="114300">
            <wp:extent cx="5520690" cy="3902075"/>
            <wp:effectExtent l="0" t="0" r="3810" b="9525"/>
            <wp:docPr id="6" name="图片 6" descr="小房身村村庄设计与风貌引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小房身村村庄设计与风貌引导图"/>
                    <pic:cNvPicPr>
                      <a:picLocks noChangeAspect="1"/>
                    </pic:cNvPicPr>
                  </pic:nvPicPr>
                  <pic:blipFill>
                    <a:blip r:embed="rId14"/>
                    <a:stretch>
                      <a:fillRect/>
                    </a:stretch>
                  </pic:blipFill>
                  <pic:spPr>
                    <a:xfrm>
                      <a:off x="0" y="0"/>
                      <a:ext cx="5520690" cy="3902075"/>
                    </a:xfrm>
                    <a:prstGeom prst="rect">
                      <a:avLst/>
                    </a:prstGeom>
                  </pic:spPr>
                </pic:pic>
              </a:graphicData>
            </a:graphic>
          </wp:inline>
        </w:drawing>
      </w:r>
    </w:p>
    <w:p>
      <w:pPr>
        <w:rPr>
          <w:rFonts w:hint="eastAsia" w:eastAsia="仿宋"/>
          <w:spacing w:val="-1"/>
          <w:lang w:eastAsia="zh-CN"/>
        </w:rPr>
      </w:pPr>
      <w:r>
        <w:rPr>
          <w:rFonts w:hint="eastAsia" w:eastAsia="仿宋"/>
          <w:spacing w:val="-1"/>
          <w:lang w:eastAsia="zh-CN"/>
        </w:rPr>
        <w:br w:type="page"/>
      </w:r>
    </w:p>
    <w:p>
      <w:pPr>
        <w:pStyle w:val="2"/>
        <w:numPr>
          <w:ilvl w:val="0"/>
          <w:numId w:val="1"/>
        </w:numPr>
        <w:spacing w:before="190" w:line="222" w:lineRule="auto"/>
        <w:ind w:left="14" w:leftChars="0" w:firstLine="0" w:firstLineChars="0"/>
        <w:rPr>
          <w:spacing w:val="-1"/>
        </w:rPr>
      </w:pPr>
      <w:r>
        <w:rPr>
          <w:spacing w:val="-1"/>
        </w:rPr>
        <w:t>村域国土空间规划图</w:t>
      </w:r>
    </w:p>
    <w:p>
      <w:pPr>
        <w:pStyle w:val="2"/>
        <w:numPr>
          <w:ilvl w:val="0"/>
          <w:numId w:val="0"/>
        </w:numPr>
        <w:spacing w:before="190" w:line="222" w:lineRule="auto"/>
        <w:ind w:left="14" w:leftChars="0"/>
        <w:rPr>
          <w:rFonts w:hint="eastAsia" w:eastAsia="宋体"/>
          <w:lang w:eastAsia="zh-CN"/>
        </w:rPr>
      </w:pPr>
      <w:r>
        <w:rPr>
          <w:rFonts w:hint="eastAsia" w:eastAsia="宋体"/>
          <w:lang w:eastAsia="zh-CN"/>
        </w:rPr>
        <w:drawing>
          <wp:inline distT="0" distB="0" distL="114300" distR="114300">
            <wp:extent cx="5509895" cy="3894455"/>
            <wp:effectExtent l="0" t="0" r="14605" b="10795"/>
            <wp:docPr id="4" name="图片 4" descr="小房身村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小房身村村域国土空间规划图"/>
                    <pic:cNvPicPr>
                      <a:picLocks noChangeAspect="1"/>
                    </pic:cNvPicPr>
                  </pic:nvPicPr>
                  <pic:blipFill>
                    <a:blip r:embed="rId15"/>
                    <a:stretch>
                      <a:fillRect/>
                    </a:stretch>
                  </pic:blipFill>
                  <pic:spPr>
                    <a:xfrm>
                      <a:off x="0" y="0"/>
                      <a:ext cx="5509895" cy="3894455"/>
                    </a:xfrm>
                    <a:prstGeom prst="rect">
                      <a:avLst/>
                    </a:prstGeom>
                  </pic:spPr>
                </pic:pic>
              </a:graphicData>
            </a:graphic>
          </wp:inline>
        </w:drawing>
      </w:r>
    </w:p>
    <w:p>
      <w:pPr>
        <w:spacing w:line="12273" w:lineRule="exact"/>
        <w:sectPr>
          <w:footerReference r:id="rId8" w:type="default"/>
          <w:pgSz w:w="11906" w:h="16840"/>
          <w:pgMar w:top="1431" w:right="1424" w:bottom="1156" w:left="1785" w:header="0" w:footer="910" w:gutter="0"/>
          <w:cols w:space="720" w:num="1"/>
        </w:sectPr>
      </w:pPr>
    </w:p>
    <w:p>
      <w:pPr>
        <w:pStyle w:val="2"/>
        <w:numPr>
          <w:ilvl w:val="0"/>
          <w:numId w:val="0"/>
        </w:numPr>
        <w:spacing w:before="191" w:line="222" w:lineRule="auto"/>
        <w:rPr>
          <w:spacing w:val="-4"/>
        </w:rPr>
      </w:pPr>
      <w:r>
        <w:rPr>
          <w:rFonts w:hint="eastAsia"/>
          <w:spacing w:val="-4"/>
          <w:lang w:val="en-US" w:eastAsia="zh-CN"/>
        </w:rPr>
        <w:t>5.</w:t>
      </w:r>
      <w:r>
        <w:rPr>
          <w:spacing w:val="-4"/>
        </w:rPr>
        <w:t>产业空间发展引导图</w:t>
      </w:r>
    </w:p>
    <w:p>
      <w:pPr>
        <w:pStyle w:val="2"/>
        <w:numPr>
          <w:ilvl w:val="0"/>
          <w:numId w:val="0"/>
        </w:numPr>
        <w:spacing w:before="191" w:line="222" w:lineRule="auto"/>
        <w:rPr>
          <w:rFonts w:hint="eastAsia" w:eastAsia="宋体"/>
          <w:lang w:eastAsia="zh-CN"/>
        </w:rPr>
      </w:pPr>
      <w:r>
        <w:rPr>
          <w:rFonts w:hint="eastAsia" w:eastAsia="宋体"/>
          <w:lang w:eastAsia="zh-CN"/>
        </w:rPr>
        <w:drawing>
          <wp:inline distT="0" distB="0" distL="114300" distR="114300">
            <wp:extent cx="5543550" cy="3917950"/>
            <wp:effectExtent l="0" t="0" r="0" b="6350"/>
            <wp:docPr id="3" name="图片 3" descr="小房身村产业空间发展引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小房身村产业空间发展引导图"/>
                    <pic:cNvPicPr>
                      <a:picLocks noChangeAspect="1"/>
                    </pic:cNvPicPr>
                  </pic:nvPicPr>
                  <pic:blipFill>
                    <a:blip r:embed="rId16"/>
                    <a:stretch>
                      <a:fillRect/>
                    </a:stretch>
                  </pic:blipFill>
                  <pic:spPr>
                    <a:xfrm>
                      <a:off x="0" y="0"/>
                      <a:ext cx="5543550" cy="3917950"/>
                    </a:xfrm>
                    <a:prstGeom prst="rect">
                      <a:avLst/>
                    </a:prstGeom>
                  </pic:spPr>
                </pic:pic>
              </a:graphicData>
            </a:graphic>
          </wp:inline>
        </w:drawing>
      </w:r>
    </w:p>
    <w:p>
      <w:pPr>
        <w:spacing w:beforeAutospacing="0" w:line="12336" w:lineRule="exact"/>
        <w:sectPr>
          <w:footerReference r:id="rId9" w:type="default"/>
          <w:pgSz w:w="11906" w:h="16840"/>
          <w:pgMar w:top="1431" w:right="1387" w:bottom="1156" w:left="1785" w:header="0" w:footer="910" w:gutter="0"/>
          <w:cols w:space="720" w:num="1"/>
        </w:sectPr>
      </w:pPr>
    </w:p>
    <w:p>
      <w:pPr>
        <w:pStyle w:val="2"/>
        <w:numPr>
          <w:ilvl w:val="0"/>
          <w:numId w:val="0"/>
        </w:numPr>
        <w:spacing w:before="190" w:line="222" w:lineRule="auto"/>
        <w:rPr>
          <w:spacing w:val="-4"/>
        </w:rPr>
      </w:pPr>
      <w:r>
        <w:rPr>
          <w:rFonts w:hint="eastAsia"/>
          <w:spacing w:val="-4"/>
          <w:lang w:val="en-US" w:eastAsia="zh-CN"/>
        </w:rPr>
        <w:t>6.</w:t>
      </w:r>
      <w:r>
        <w:rPr>
          <w:spacing w:val="-4"/>
        </w:rPr>
        <w:t>村民版规划图</w:t>
      </w:r>
    </w:p>
    <w:p>
      <w:pPr>
        <w:pStyle w:val="2"/>
        <w:numPr>
          <w:ilvl w:val="0"/>
          <w:numId w:val="0"/>
        </w:numPr>
        <w:spacing w:before="190" w:line="222" w:lineRule="auto"/>
        <w:rPr>
          <w:rFonts w:hint="eastAsia" w:eastAsia="宋体"/>
          <w:lang w:eastAsia="zh-CN"/>
        </w:rPr>
      </w:pPr>
      <w:r>
        <w:rPr>
          <w:rFonts w:hint="eastAsia" w:eastAsia="宋体"/>
          <w:lang w:eastAsia="zh-CN"/>
        </w:rPr>
        <w:drawing>
          <wp:inline distT="0" distB="0" distL="114300" distR="114300">
            <wp:extent cx="5710555" cy="4036060"/>
            <wp:effectExtent l="0" t="0" r="4445" b="2540"/>
            <wp:docPr id="5" name="图片 5" descr="小房身村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小房身村村民版规划图"/>
                    <pic:cNvPicPr>
                      <a:picLocks noChangeAspect="1"/>
                    </pic:cNvPicPr>
                  </pic:nvPicPr>
                  <pic:blipFill>
                    <a:blip r:embed="rId17"/>
                    <a:stretch>
                      <a:fillRect/>
                    </a:stretch>
                  </pic:blipFill>
                  <pic:spPr>
                    <a:xfrm>
                      <a:off x="0" y="0"/>
                      <a:ext cx="5710555" cy="4036060"/>
                    </a:xfrm>
                    <a:prstGeom prst="rect">
                      <a:avLst/>
                    </a:prstGeom>
                  </pic:spPr>
                </pic:pic>
              </a:graphicData>
            </a:graphic>
          </wp:inline>
        </w:drawing>
      </w:r>
    </w:p>
    <w:sectPr>
      <w:footerReference r:id="rId10" w:type="default"/>
      <w:pgSz w:w="11906" w:h="16840"/>
      <w:pgMar w:top="1431" w:right="1181" w:bottom="1156" w:left="1716" w:header="0" w:footer="9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left="4317"/>
      <w:rPr>
        <w:rFonts w:ascii="Arial" w:hAnsi="Arial" w:eastAsia="Arial" w:cs="Arial"/>
        <w:sz w:val="18"/>
        <w:szCs w:val="18"/>
      </w:rPr>
    </w:pPr>
    <w:r>
      <w:rPr>
        <w:rFonts w:ascii="Arial" w:hAnsi="Arial" w:eastAsia="Arial" w:cs="Arial"/>
        <w:sz w:val="18"/>
        <w:szCs w:val="18"/>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22"/>
      <w:rPr>
        <w:rFonts w:ascii="Arial" w:hAnsi="Arial" w:eastAsia="Arial" w:cs="Arial"/>
        <w:sz w:val="18"/>
        <w:szCs w:val="18"/>
      </w:rPr>
    </w:pPr>
    <w:r>
      <w:rPr>
        <w:rFonts w:ascii="Arial" w:hAnsi="Arial" w:eastAsia="Arial" w:cs="Arial"/>
        <w:position w:val="1"/>
        <w:sz w:val="18"/>
        <w:szCs w:val="18"/>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22"/>
      <w:rPr>
        <w:rFonts w:ascii="Arial" w:hAnsi="Arial" w:eastAsia="Arial" w:cs="Arial"/>
        <w:sz w:val="18"/>
        <w:szCs w:val="18"/>
      </w:rPr>
    </w:pPr>
    <w:r>
      <w:rPr>
        <w:rFonts w:ascii="Arial" w:hAnsi="Arial" w:eastAsia="Arial" w:cs="Arial"/>
        <w:position w:val="1"/>
        <w:sz w:val="18"/>
        <w:szCs w:val="18"/>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22"/>
      <w:rPr>
        <w:rFonts w:ascii="Arial" w:hAnsi="Arial" w:eastAsia="Arial" w:cs="Arial"/>
        <w:sz w:val="18"/>
        <w:szCs w:val="18"/>
      </w:rPr>
    </w:pPr>
    <w:r>
      <w:rPr>
        <w:rFonts w:ascii="Arial" w:hAnsi="Arial" w:eastAsia="Arial" w:cs="Arial"/>
        <w:position w:val="1"/>
        <w:sz w:val="18"/>
        <w:szCs w:val="18"/>
      </w:rPr>
      <w:t>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23"/>
      <w:rPr>
        <w:rFonts w:ascii="Arial" w:hAnsi="Arial" w:eastAsia="Arial" w:cs="Arial"/>
        <w:sz w:val="18"/>
        <w:szCs w:val="18"/>
      </w:rPr>
    </w:pPr>
    <w:r>
      <w:rPr>
        <w:rFonts w:ascii="Arial" w:hAnsi="Arial" w:eastAsia="Arial" w:cs="Arial"/>
        <w:position w:val="1"/>
        <w:sz w:val="18"/>
        <w:szCs w:val="18"/>
      </w:rPr>
      <w:t>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53"/>
      <w:rPr>
        <w:rFonts w:ascii="Arial" w:hAnsi="Arial" w:eastAsia="Arial" w:cs="Arial"/>
        <w:sz w:val="18"/>
        <w:szCs w:val="18"/>
      </w:rPr>
    </w:pPr>
    <w:r>
      <w:rPr>
        <w:rFonts w:ascii="Arial" w:hAnsi="Arial" w:eastAsia="Arial" w:cs="Arial"/>
        <w:spacing w:val="-10"/>
        <w:position w:val="1"/>
        <w:sz w:val="18"/>
        <w:szCs w:val="18"/>
      </w:rPr>
      <w:t>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D80647"/>
    <w:multiLevelType w:val="singleLevel"/>
    <w:tmpl w:val="55D8064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CA1F5A"/>
    <w:rsid w:val="093A006A"/>
    <w:rsid w:val="112C5069"/>
    <w:rsid w:val="151601E5"/>
    <w:rsid w:val="1EAA6455"/>
    <w:rsid w:val="1EE60FA6"/>
    <w:rsid w:val="279E23E0"/>
    <w:rsid w:val="2B8A3CD9"/>
    <w:rsid w:val="3ED3362E"/>
    <w:rsid w:val="41EF14BA"/>
    <w:rsid w:val="4A842CDB"/>
    <w:rsid w:val="550772DB"/>
    <w:rsid w:val="5AD5646E"/>
    <w:rsid w:val="625C0619"/>
    <w:rsid w:val="703D1BD2"/>
    <w:rsid w:val="7FEC5EEF"/>
    <w:rsid w:val="F57FD08F"/>
    <w:rsid w:val="FFD531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aca8228d-0ca5-41c4-aabe-5bedee58c57f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6CC52F2B</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0d4b6765-532e-4c07-b554-2d1ae557971c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11809D7B</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aa4f4a4a-e194-4cba-afad-671e1ed84a38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11809D7B</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5331baa3-d866-43a9-b581-d4ec760229aa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11809D7B</paraID>
      <start xmlns="http://schemas.wps.cn/vas-ai-hub/contract-review">84</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81e3173f-6608-469f-a82f-ffab54162b2c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11809D7B</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e822a31c-869e-47b7-8376-8e14b878b260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3552f2be-54b0-4ff5-aff1-d1d21be3d43a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363959a4-ffac-49b7-a0ab-dd1bb435225b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92</start>
      <end xmlns="http://schemas.wps.cn/vas-ai-hub/contract-review">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27d37246-6a3d-4c30-8d13-7f66d3653bf8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97</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e3615aa2-f9d7-4928-a8c3-5e02f94db3a1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99</start>
      <end xmlns="http://schemas.wps.cn/vas-ai-hub/contract-review">100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eeb65214-583b-4683-963d-5b20c8abe24d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104</start>
      <end xmlns="http://schemas.wps.cn/vas-ai-hub/contract-review">105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f8dc6649-882d-4634-aa36-997ce9e76249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7E09DC52</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9d20388d-0d5b-43b3-8cfd-e8edb71ce174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7E09DC52</paraID>
      <start xmlns="http://schemas.wps.cn/vas-ai-hub/contract-review">111</start>
      <end xmlns="http://schemas.wps.cn/vas-ai-hub/contract-review">112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c3b2e2e9-c211-4833-bf8b-98f0b51a22ce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7E09DC52</paraID>
      <start xmlns="http://schemas.wps.cn/vas-ai-hub/contract-review">131</start>
      <end xmlns="http://schemas.wps.cn/vas-ai-hub/contract-review">132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547cfb08-2fda-4977-9533-4e9609fe5260</errorID>
      <errorWord xmlns="http://schemas.wps.cn/vas-ai-hub/contract-review">您的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您</item>
      </candidateList>
      <explain xmlns="http://schemas.wps.cn/vas-ai-hub/contract-review"/>
      <paraID xmlns="http://schemas.wps.cn/vas-ai-hub/contract-review">273A8CF8</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7aef8880-c5c0-4678-b596-9a149e79a51d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273A8CF8</paraID>
      <start xmlns="http://schemas.wps.cn/vas-ai-hub/contract-review">21</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23126efe-465e-4e3b-842d-499c90c337cb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387D082A</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6235fa69-07cf-4b94-a0e8-59c15321597d</errorID>
      <errorWord xmlns="http://schemas.wps.cn/vas-ai-hub/contract-review">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制在</item>
      </candidateList>
      <explain xmlns="http://schemas.wps.cn/vas-ai-hub/contract-review"/>
      <paraID xmlns="http://schemas.wps.cn/vas-ai-hub/contract-review"> E07C382</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7316ea41-741c-492e-816a-a4d717c39be3</errorID>
      <errorWord xmlns="http://schemas.wps.cn/vas-ai-hub/contract-review">生态保护底线</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生态保护红线</item>
      </candidateList>
      <explain xmlns="http://schemas.wps.cn/vas-ai-hub/contract-review">词汇“生态保护红线”在特定场景下为固定表述形式，请确认此处的“生态保护底线”是否存在不当。</explain>
      <paraID xmlns="http://schemas.wps.cn/vas-ai-hub/contract-review">1433E9B7</paraID>
      <start xmlns="http://schemas.wps.cn/vas-ai-hub/contract-review">2</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2f51b3ab-4aa8-408f-9b93-7ad82e8ac389</errorID>
      <errorWord xmlns="http://schemas.wps.cn/vas-ai-hub/contract-review">生态红线</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生态保护红线</item>
      </candidateList>
      <explain xmlns="http://schemas.wps.cn/vas-ai-hub/contract-review"/>
      <paraID xmlns="http://schemas.wps.cn/vas-ai-hub/contract-review">1433E9B7</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d21a90e6-6d91-4ce7-a5f8-65c673d00f9a</errorID>
      <errorWord xmlns="http://schemas.wps.cn/vas-ai-hub/contract-review">生态红线</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生态保护红线</item>
      </candidateList>
      <explain xmlns="http://schemas.wps.cn/vas-ai-hub/contract-review"/>
      <paraID xmlns="http://schemas.wps.cn/vas-ai-hub/contract-review">1433E9B7</paraID>
      <start xmlns="http://schemas.wps.cn/vas-ai-hub/contract-review">28</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efb00b28-70e9-44bb-a8fd-45683c3b6314</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与农</item>
      </candidateList>
      <explain xmlns="http://schemas.wps.cn/vas-ai-hub/contract-review"/>
      <paraID xmlns="http://schemas.wps.cn/vas-ai-hub/contract-review">68767A30</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f6375373-dbb4-4379-8a4c-f376f5d0f475</errorID>
      <errorWord xmlns="http://schemas.wps.cn/vas-ai-hub/contract-review">种植种植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种植</item>
      </candidateList>
      <explain xmlns="http://schemas.wps.cn/vas-ai-hub/contract-review"/>
      <paraID xmlns="http://schemas.wps.cn/vas-ai-hub/contract-review">42099033</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94a3b969-ba18-4f70-b598-34c435424094</errorID>
      <errorWord xmlns="http://schemas.wps.cn/vas-ai-hub/contract-review">、等</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等</item>
      </candidateList>
      <explain xmlns="http://schemas.wps.cn/vas-ai-hub/contract-review">“及”“和”“等”连词前不宜使用顿号，建议删除（或使用逗号）。</explain>
      <paraID xmlns="http://schemas.wps.cn/vas-ai-hub/contract-review"> 78C50CD</paraID>
      <start xmlns="http://schemas.wps.cn/vas-ai-hub/contract-review">62</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d60259f7-97b7-4c15-8064-8710e10d5834}">
  <ds:schemaRefs/>
</ds:datastoreItem>
</file>

<file path=docProps/app.xml><?xml version="1.0" encoding="utf-8"?>
<Properties xmlns="http://schemas.openxmlformats.org/officeDocument/2006/extended-properties" xmlns:vt="http://schemas.openxmlformats.org/officeDocument/2006/docPropsVTypes">
  <Pages>10</Pages>
  <Words>1984</Words>
  <Characters>2186</Characters>
  <TotalTime>7</TotalTime>
  <ScaleCrop>false</ScaleCrop>
  <LinksUpToDate>false</LinksUpToDate>
  <CharactersWithSpaces>2217</CharactersWithSpaces>
  <Application>WPS Office_12.8.2.15290_F1E327BC-269C-435d-A152-05C5408002CA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2025-10-11T02:55:00Z</dcterms:created>
  <dc:creator>于承洋</dc:creator>
  <cp:lastModifiedBy>Gxkj-123</cp:lastModifiedBy>
  <dcterms:modified xsi:type="dcterms:W3CDTF">2026-09-24T12:03:33Z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2026-09-17T17:52:20Z</vt:filetime>
  </property>
  <property fmtid="{D5CDD505-2E9C-101B-9397-08002B2CF9AE}" pid="4" name="KSOTemplateDocerSaveRecord">
    <vt:lpwstr>eyJoZGlkIjoiNGY4NzdkMGIxODk5ZTlkNjI1YTQ3MDRjZWY0ZTE1MGUiLCJ1c2VySWQiOiIxNjAxMTAyNTY2In0=</vt:lpwstr>
  </property>
  <property fmtid="{D5CDD505-2E9C-101B-9397-08002B2CF9AE}" pid="5" name="KSOProductBuildVer">
    <vt:lpwstr>2052-12.8.2.15290</vt:lpwstr>
  </property>
  <property fmtid="{D5CDD505-2E9C-101B-9397-08002B2CF9AE}" pid="6" name="ICV">
    <vt:lpwstr>4D7EA7F2718B47CE9862A5AFABC5E82B</vt:lpwstr>
  </property>
</Properties>
</file>