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firstLineChars="200"/>
        <w:rPr>
          <w:rFonts w:hint="eastAsia" w:ascii="仿宋_GB2312" w:hAnsi="仿宋_GB2312" w:eastAsia="仿宋_GB2312" w:cs="仿宋_GB2312"/>
          <w:strike w:val="0"/>
          <w:dstrike w:val="0"/>
          <w:color w:val="auto"/>
          <w:sz w:val="32"/>
          <w:szCs w:val="32"/>
          <w:highlight w:val="none"/>
          <w:u w:val="none" w:color="auto"/>
          <w:lang w:val="en-US" w:eastAsia="zh-CN"/>
        </w:rPr>
      </w:pPr>
    </w:p>
    <w:p>
      <w:pPr>
        <w:rPr>
          <w:rFonts w:hint="default"/>
          <w:strike w:val="0"/>
          <w:dstrike w:val="0"/>
          <w:color w:val="auto"/>
          <w:highlight w:val="none"/>
          <w:u w:val="none" w:color="auto"/>
          <w:lang w:val="en-US" w:eastAsia="zh-CN"/>
        </w:rPr>
      </w:pPr>
    </w:p>
    <w:p>
      <w:pPr>
        <w:spacing w:line="800" w:lineRule="exact"/>
        <w:jc w:val="both"/>
        <w:rPr>
          <w:rFonts w:hint="eastAsia" w:ascii="宋体" w:hAnsi="宋体" w:eastAsia="方正小标宋简体" w:cs="Times New Roman"/>
          <w:strike w:val="0"/>
          <w:dstrike w:val="0"/>
          <w:color w:val="auto"/>
          <w:spacing w:val="11"/>
          <w:sz w:val="52"/>
          <w:szCs w:val="52"/>
          <w:highlight w:val="none"/>
          <w:u w:val="none" w:color="auto"/>
          <w:shd w:val="clear" w:color="auto" w:fill="auto"/>
          <w:lang w:val="en-US" w:eastAsia="zh-CN"/>
        </w:rPr>
      </w:pPr>
    </w:p>
    <w:p>
      <w:pPr>
        <w:spacing w:line="800" w:lineRule="exact"/>
        <w:jc w:val="center"/>
        <w:rPr>
          <w:rFonts w:hint="eastAsia" w:ascii="宋体" w:hAnsi="宋体" w:eastAsia="方正小标宋简体" w:cs="Times New Roman"/>
          <w:strike w:val="0"/>
          <w:dstrike w:val="0"/>
          <w:color w:val="auto"/>
          <w:spacing w:val="11"/>
          <w:sz w:val="52"/>
          <w:szCs w:val="52"/>
          <w:highlight w:val="none"/>
          <w:u w:val="none" w:color="auto"/>
          <w:shd w:val="clear" w:color="auto" w:fill="auto"/>
          <w:lang w:val="en-US" w:eastAsia="zh-CN"/>
        </w:rPr>
      </w:pPr>
    </w:p>
    <w:p>
      <w:pPr>
        <w:spacing w:line="800" w:lineRule="exact"/>
        <w:jc w:val="center"/>
        <w:rPr>
          <w:rFonts w:hint="eastAsia" w:ascii="宋体" w:hAnsi="宋体" w:eastAsia="方正小标宋简体" w:cs="Times New Roman"/>
          <w:strike w:val="0"/>
          <w:dstrike w:val="0"/>
          <w:color w:val="auto"/>
          <w:spacing w:val="11"/>
          <w:sz w:val="52"/>
          <w:szCs w:val="52"/>
          <w:highlight w:val="none"/>
          <w:u w:val="none" w:color="auto"/>
          <w:shd w:val="clear" w:color="auto" w:fill="auto"/>
          <w:lang w:val="en-US" w:eastAsia="zh-CN"/>
        </w:rPr>
      </w:pPr>
    </w:p>
    <w:p>
      <w:pPr>
        <w:spacing w:line="800" w:lineRule="exact"/>
        <w:jc w:val="center"/>
        <w:rPr>
          <w:rFonts w:hint="eastAsia" w:ascii="宋体" w:hAnsi="宋体" w:eastAsia="方正小标宋简体" w:cs="Times New Roman"/>
          <w:strike w:val="0"/>
          <w:dstrike w:val="0"/>
          <w:color w:val="auto"/>
          <w:spacing w:val="11"/>
          <w:sz w:val="52"/>
          <w:szCs w:val="52"/>
          <w:highlight w:val="none"/>
          <w:u w:val="none" w:color="auto"/>
          <w:shd w:val="clear" w:color="auto" w:fill="auto"/>
          <w:lang w:val="en-US" w:eastAsia="zh-CN"/>
        </w:rPr>
      </w:pPr>
      <w:r>
        <w:rPr>
          <w:rFonts w:hint="eastAsia" w:ascii="宋体" w:hAnsi="宋体" w:eastAsia="方正小标宋简体" w:cs="Times New Roman"/>
          <w:strike w:val="0"/>
          <w:dstrike w:val="0"/>
          <w:color w:val="auto"/>
          <w:spacing w:val="11"/>
          <w:sz w:val="52"/>
          <w:szCs w:val="52"/>
          <w:highlight w:val="none"/>
          <w:u w:val="none" w:color="auto"/>
          <w:shd w:val="clear" w:color="auto" w:fill="auto"/>
          <w:lang w:val="en-US" w:eastAsia="zh-CN"/>
        </w:rPr>
        <w:t>庄河市国民经济和社会发展</w:t>
      </w:r>
    </w:p>
    <w:p>
      <w:pPr>
        <w:spacing w:line="800" w:lineRule="exact"/>
        <w:jc w:val="center"/>
        <w:rPr>
          <w:rFonts w:hint="eastAsia" w:ascii="宋体" w:hAnsi="宋体" w:eastAsia="方正小标宋简体" w:cs="Times New Roman"/>
          <w:strike w:val="0"/>
          <w:dstrike w:val="0"/>
          <w:color w:val="auto"/>
          <w:spacing w:val="11"/>
          <w:sz w:val="52"/>
          <w:szCs w:val="52"/>
          <w:highlight w:val="none"/>
          <w:u w:val="none" w:color="auto"/>
          <w:shd w:val="clear" w:color="auto" w:fill="auto"/>
          <w:lang w:val="en-US" w:eastAsia="zh-CN"/>
        </w:rPr>
      </w:pPr>
      <w:r>
        <w:rPr>
          <w:rFonts w:hint="eastAsia" w:ascii="宋体" w:hAnsi="宋体" w:eastAsia="方正小标宋简体" w:cs="Times New Roman"/>
          <w:strike w:val="0"/>
          <w:dstrike w:val="0"/>
          <w:color w:val="auto"/>
          <w:spacing w:val="11"/>
          <w:sz w:val="52"/>
          <w:szCs w:val="52"/>
          <w:highlight w:val="none"/>
          <w:u w:val="none" w:color="auto"/>
          <w:shd w:val="clear" w:color="auto" w:fill="auto"/>
          <w:lang w:val="en-US" w:eastAsia="zh-CN"/>
        </w:rPr>
        <w:t>第十五个五年规划纲要</w:t>
      </w:r>
    </w:p>
    <w:p>
      <w:pPr>
        <w:ind w:firstLine="640" w:firstLineChars="200"/>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p>
    <w:p>
      <w:pPr>
        <w:ind w:firstLine="640" w:firstLineChars="200"/>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p>
    <w:p>
      <w:pPr>
        <w:ind w:firstLine="640" w:firstLineChars="200"/>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p>
    <w:p>
      <w:pP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p>
    <w:p>
      <w:pPr>
        <w:ind w:firstLine="640" w:firstLineChars="200"/>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p>
    <w:p>
      <w:pPr>
        <w:ind w:firstLine="640" w:firstLineChars="200"/>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p>
    <w:p>
      <w:pPr>
        <w:ind w:firstLine="640" w:firstLineChars="200"/>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p>
    <w:p>
      <w:pPr>
        <w:ind w:firstLine="640" w:firstLineChars="200"/>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p>
    <w:p>
      <w:pPr>
        <w:ind w:firstLine="640" w:firstLineChars="200"/>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p>
    <w:p>
      <w:pPr>
        <w:ind w:firstLine="640" w:firstLineChars="200"/>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p>
    <w:p>
      <w:pPr>
        <w:spacing w:line="600" w:lineRule="exact"/>
        <w:jc w:val="center"/>
        <w:rPr>
          <w:rFonts w:hint="eastAsia" w:ascii="Times New Roman" w:hAnsi="Times New Roman" w:eastAsia="方正楷体简体" w:cs="Times New Roman"/>
          <w:strike w:val="0"/>
          <w:dstrike w:val="0"/>
          <w:color w:val="auto"/>
          <w:sz w:val="32"/>
          <w:szCs w:val="32"/>
          <w:highlight w:val="none"/>
          <w:u w:val="none" w:color="auto"/>
          <w:shd w:val="clear" w:color="auto" w:fill="auto"/>
          <w:lang w:val="en-US" w:eastAsia="zh-CN"/>
        </w:rPr>
      </w:pPr>
    </w:p>
    <w:p>
      <w:pPr>
        <w:spacing w:line="600" w:lineRule="exact"/>
        <w:jc w:val="center"/>
        <w:rPr>
          <w:rFonts w:hint="eastAsia" w:ascii="楷体_GB2312" w:hAnsi="楷体_GB2312" w:eastAsia="楷体_GB2312" w:cs="楷体_GB2312"/>
          <w:strike w:val="0"/>
          <w:dstrike w:val="0"/>
          <w:color w:val="auto"/>
          <w:sz w:val="32"/>
          <w:szCs w:val="32"/>
          <w:highlight w:val="none"/>
          <w:u w:val="none" w:color="auto"/>
          <w:shd w:val="clear" w:color="auto" w:fill="auto"/>
          <w:lang w:val="en-US" w:eastAsia="zh-CN"/>
        </w:rPr>
      </w:pPr>
      <w:r>
        <w:rPr>
          <w:rFonts w:hint="eastAsia" w:ascii="楷体_GB2312" w:hAnsi="楷体_GB2312" w:eastAsia="楷体_GB2312" w:cs="楷体_GB2312"/>
          <w:strike w:val="0"/>
          <w:dstrike w:val="0"/>
          <w:color w:val="auto"/>
          <w:sz w:val="32"/>
          <w:szCs w:val="32"/>
          <w:highlight w:val="none"/>
          <w:u w:val="none" w:color="auto"/>
          <w:shd w:val="clear" w:color="auto" w:fill="auto"/>
          <w:lang w:val="en-US" w:eastAsia="zh-CN"/>
        </w:rPr>
        <w:t>2026年7月</w:t>
      </w:r>
    </w:p>
    <w:p>
      <w:pPr>
        <w:ind w:firstLine="640" w:firstLineChars="200"/>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p>
    <w:sdt>
      <w:sdtPr>
        <w:rPr>
          <w:rFonts w:ascii="宋体" w:hAnsi="宋体" w:eastAsia="宋体" w:cstheme="minorBidi"/>
          <w:strike w:val="0"/>
          <w:dstrike w:val="0"/>
          <w:color w:val="auto"/>
          <w:kern w:val="2"/>
          <w:sz w:val="21"/>
          <w:szCs w:val="24"/>
          <w:highlight w:val="none"/>
          <w:u w:val="none" w:color="auto"/>
          <w:shd w:val="clear" w:color="auto" w:fill="auto"/>
          <w:lang w:val="en-US" w:eastAsia="zh-CN" w:bidi="ar-SA"/>
        </w:rPr>
        <w:id w:val="147473132"/>
        <w15:color w:val="DBDBDB"/>
        <w:docPartObj>
          <w:docPartGallery w:val="Table of Contents"/>
          <w:docPartUnique/>
        </w:docPartObj>
      </w:sdtPr>
      <w:sdtEndPr>
        <w:rPr>
          <w:rFonts w:ascii="宋体" w:hAnsi="宋体" w:eastAsia="方正小标宋简体" w:cs="Times New Roman"/>
          <w:strike w:val="0"/>
          <w:dstrike w:val="0"/>
          <w:color w:val="auto"/>
          <w:kern w:val="2"/>
          <w:sz w:val="21"/>
          <w:szCs w:val="36"/>
          <w:highlight w:val="none"/>
          <w:u w:val="none" w:color="auto"/>
          <w:shd w:val="clear" w:color="auto" w:fill="auto"/>
          <w:lang w:val="en-US" w:eastAsia="zh-CN" w:bidi="ar-SA"/>
        </w:rPr>
      </w:sdtEndPr>
      <w:sdtContent>
        <w:p>
          <w:pPr>
            <w:spacing w:before="0" w:beforeLines="0" w:after="0" w:afterLines="0" w:line="240" w:lineRule="auto"/>
            <w:ind w:left="0" w:leftChars="0" w:right="0" w:rightChars="0" w:firstLine="0" w:firstLineChars="0"/>
            <w:jc w:val="center"/>
            <w:rPr>
              <w:rFonts w:ascii="宋体" w:hAnsi="宋体" w:eastAsia="宋体" w:cstheme="minorBidi"/>
              <w:strike w:val="0"/>
              <w:dstrike w:val="0"/>
              <w:color w:val="auto"/>
              <w:kern w:val="2"/>
              <w:sz w:val="21"/>
              <w:szCs w:val="24"/>
              <w:highlight w:val="none"/>
              <w:u w:val="none" w:color="auto"/>
              <w:shd w:val="clear" w:color="auto" w:fill="auto"/>
              <w:lang w:val="en-US" w:eastAsia="zh-CN" w:bidi="ar-SA"/>
            </w:rPr>
          </w:pPr>
          <w:bookmarkStart w:id="0" w:name="_Toc31863"/>
          <w:bookmarkStart w:id="1" w:name="_Toc32221"/>
          <w:bookmarkStart w:id="2" w:name="_Toc30480"/>
          <w:bookmarkStart w:id="3" w:name="_Toc5608"/>
          <w:bookmarkStart w:id="4" w:name="_Toc2884"/>
          <w:bookmarkStart w:id="5" w:name="_Toc121"/>
          <w:bookmarkStart w:id="6" w:name="_Toc32416"/>
          <w:bookmarkStart w:id="7" w:name="_Toc18362"/>
          <w:bookmarkStart w:id="8" w:name="_Toc7581"/>
          <w:bookmarkStart w:id="9" w:name="_Toc8217"/>
          <w:bookmarkStart w:id="10" w:name="_Toc22598"/>
          <w:bookmarkStart w:id="11" w:name="_Toc25272"/>
          <w:bookmarkStart w:id="12" w:name="_Toc11714"/>
          <w:bookmarkStart w:id="13" w:name="_Toc18071"/>
          <w:bookmarkStart w:id="14" w:name="_Toc15337"/>
          <w:bookmarkStart w:id="15" w:name="_Toc2994"/>
          <w:bookmarkStart w:id="16" w:name="_Toc12556"/>
          <w:bookmarkStart w:id="17" w:name="_Toc31327"/>
          <w:bookmarkStart w:id="18" w:name="_Toc4034"/>
          <w:bookmarkStart w:id="19" w:name="_Toc8972"/>
          <w:bookmarkStart w:id="20" w:name="_Toc15370"/>
          <w:bookmarkStart w:id="21" w:name="_Toc8974"/>
          <w:bookmarkStart w:id="22" w:name="_Toc19472"/>
        </w:p>
        <w:p>
          <w:pPr>
            <w:spacing w:before="0" w:beforeLines="0" w:after="0" w:afterLines="0" w:line="240" w:lineRule="auto"/>
            <w:ind w:left="0" w:leftChars="0" w:right="0" w:rightChars="0" w:firstLine="0" w:firstLineChars="0"/>
            <w:jc w:val="center"/>
            <w:rPr>
              <w:b/>
              <w:bCs/>
              <w:strike w:val="0"/>
              <w:dstrike w:val="0"/>
              <w:color w:val="auto"/>
              <w:sz w:val="56"/>
              <w:szCs w:val="72"/>
              <w:highlight w:val="none"/>
              <w:u w:val="none" w:color="auto"/>
              <w:shd w:val="clear" w:color="auto" w:fill="auto"/>
            </w:rPr>
          </w:pPr>
          <w:r>
            <w:rPr>
              <w:rFonts w:ascii="宋体" w:hAnsi="宋体" w:eastAsia="宋体"/>
              <w:b/>
              <w:bCs/>
              <w:strike w:val="0"/>
              <w:dstrike w:val="0"/>
              <w:color w:val="auto"/>
              <w:sz w:val="56"/>
              <w:szCs w:val="72"/>
              <w:highlight w:val="none"/>
              <w:u w:val="none" w:color="auto"/>
              <w:shd w:val="clear" w:color="auto" w:fill="auto"/>
            </w:rPr>
            <w:t>目</w:t>
          </w:r>
          <w:r>
            <w:rPr>
              <w:rFonts w:hint="eastAsia" w:ascii="宋体" w:hAnsi="宋体" w:eastAsia="宋体"/>
              <w:b/>
              <w:bCs/>
              <w:strike w:val="0"/>
              <w:dstrike w:val="0"/>
              <w:color w:val="auto"/>
              <w:sz w:val="56"/>
              <w:szCs w:val="72"/>
              <w:highlight w:val="none"/>
              <w:u w:val="none" w:color="auto"/>
              <w:shd w:val="clear" w:color="auto" w:fill="auto"/>
              <w:lang w:val="en-US" w:eastAsia="zh-CN"/>
            </w:rPr>
            <w:t xml:space="preserve"> </w:t>
          </w:r>
          <w:r>
            <w:rPr>
              <w:rFonts w:ascii="宋体" w:hAnsi="宋体" w:eastAsia="宋体"/>
              <w:b/>
              <w:bCs/>
              <w:strike w:val="0"/>
              <w:dstrike w:val="0"/>
              <w:color w:val="auto"/>
              <w:sz w:val="56"/>
              <w:szCs w:val="72"/>
              <w:highlight w:val="none"/>
              <w:u w:val="none" w:color="auto"/>
              <w:shd w:val="clear" w:color="auto" w:fill="auto"/>
            </w:rPr>
            <w:t>录</w:t>
          </w:r>
        </w:p>
        <w:p>
          <w:pPr>
            <w:pStyle w:val="14"/>
            <w:tabs>
              <w:tab w:val="right" w:leader="dot" w:pos="9184"/>
            </w:tabs>
          </w:pPr>
          <w:r>
            <w:rPr>
              <w:rFonts w:ascii="宋体" w:hAnsi="宋体" w:eastAsia="方正小标宋简体" w:cs="Times New Roman"/>
              <w:strike w:val="0"/>
              <w:dstrike w:val="0"/>
              <w:color w:val="auto"/>
              <w:sz w:val="36"/>
              <w:szCs w:val="36"/>
              <w:highlight w:val="none"/>
              <w:u w:val="none" w:color="auto"/>
              <w:shd w:val="clear" w:color="auto" w:fill="auto"/>
            </w:rPr>
            <w:fldChar w:fldCharType="begin"/>
          </w:r>
          <w:r>
            <w:rPr>
              <w:rFonts w:ascii="宋体" w:hAnsi="宋体" w:eastAsia="方正小标宋简体" w:cs="Times New Roman"/>
              <w:strike w:val="0"/>
              <w:dstrike w:val="0"/>
              <w:color w:val="auto"/>
              <w:sz w:val="36"/>
              <w:szCs w:val="36"/>
              <w:highlight w:val="none"/>
              <w:u w:val="none" w:color="auto"/>
              <w:shd w:val="clear" w:color="auto" w:fill="auto"/>
            </w:rPr>
            <w:instrText xml:space="preserve">TOC \o "1-3" \h \u </w:instrText>
          </w:r>
          <w:r>
            <w:rPr>
              <w:rFonts w:ascii="宋体" w:hAnsi="宋体" w:eastAsia="方正小标宋简体" w:cs="Times New Roman"/>
              <w:strike w:val="0"/>
              <w:dstrike w:val="0"/>
              <w:color w:val="auto"/>
              <w:sz w:val="36"/>
              <w:szCs w:val="36"/>
              <w:highlight w:val="none"/>
              <w:u w:val="none" w:color="auto"/>
              <w:shd w:val="clear" w:color="auto" w:fill="auto"/>
            </w:rPr>
            <w:fldChar w:fldCharType="separate"/>
          </w: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_Toc1570098069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lang w:val="en-US" w:eastAsia="zh-CN"/>
            </w:rPr>
            <w:t>序  言</w:t>
          </w:r>
          <w:r>
            <w:tab/>
          </w:r>
          <w:r>
            <w:fldChar w:fldCharType="begin"/>
          </w:r>
          <w:r>
            <w:instrText xml:space="preserve"> PAGEREF _Toc1570098069 \h </w:instrText>
          </w:r>
          <w:r>
            <w:fldChar w:fldCharType="separate"/>
          </w:r>
          <w:r>
            <w:t>1</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4"/>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_Toc2019436624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第一篇 夯实基础、全面发力，开启“一区一城”高质量发展新征程</w:t>
          </w:r>
          <w:r>
            <w:tab/>
          </w:r>
          <w:r>
            <w:fldChar w:fldCharType="begin"/>
          </w:r>
          <w:r>
            <w:instrText xml:space="preserve"> PAGEREF _Toc2019436624 \h </w:instrText>
          </w:r>
          <w:r>
            <w:fldChar w:fldCharType="separate"/>
          </w:r>
          <w:r>
            <w:t>2</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6"/>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_Toc1207344938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第一章 发展基础</w:t>
          </w:r>
          <w:r>
            <w:tab/>
          </w:r>
          <w:r>
            <w:fldChar w:fldCharType="begin"/>
          </w:r>
          <w:r>
            <w:instrText xml:space="preserve"> PAGEREF _Toc1207344938 \h </w:instrText>
          </w:r>
          <w:r>
            <w:fldChar w:fldCharType="separate"/>
          </w:r>
          <w:r>
            <w:t>2</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6"/>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_Toc1969167964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第二章 面临形势</w:t>
          </w:r>
          <w:r>
            <w:tab/>
          </w:r>
          <w:r>
            <w:fldChar w:fldCharType="begin"/>
          </w:r>
          <w:r>
            <w:instrText xml:space="preserve"> PAGEREF _Toc1969167964 \h </w:instrText>
          </w:r>
          <w:r>
            <w:fldChar w:fldCharType="separate"/>
          </w:r>
          <w:r>
            <w:t>5</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6"/>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_Toc892684712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第三章 指导方针</w:t>
          </w:r>
          <w:r>
            <w:tab/>
          </w:r>
          <w:r>
            <w:fldChar w:fldCharType="begin"/>
          </w:r>
          <w:r>
            <w:instrText xml:space="preserve"> PAGEREF _Toc892684712 \h </w:instrText>
          </w:r>
          <w:r>
            <w:fldChar w:fldCharType="separate"/>
          </w:r>
          <w:r>
            <w:t>7</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_Toc775085816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第一节 指导思想</w:t>
          </w:r>
          <w:r>
            <w:tab/>
          </w:r>
          <w:r>
            <w:fldChar w:fldCharType="begin"/>
          </w:r>
          <w:r>
            <w:instrText xml:space="preserve"> PAGEREF _Toc775085816 \h </w:instrText>
          </w:r>
          <w:r>
            <w:fldChar w:fldCharType="separate"/>
          </w:r>
          <w:r>
            <w:t>7</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_Toc627600156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lang w:val="en-US" w:eastAsia="zh-CN"/>
            </w:rPr>
            <w:t>第二节 基本要求</w:t>
          </w:r>
          <w:r>
            <w:tab/>
          </w:r>
          <w:r>
            <w:fldChar w:fldCharType="begin"/>
          </w:r>
          <w:r>
            <w:instrText xml:space="preserve"> PAGEREF _Toc627600156 \h </w:instrText>
          </w:r>
          <w:r>
            <w:fldChar w:fldCharType="separate"/>
          </w:r>
          <w:r>
            <w:t>8</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_Toc97346271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lang w:val="en-US" w:eastAsia="zh-CN"/>
            </w:rPr>
            <w:t>第三节 主要目标</w:t>
          </w:r>
          <w:r>
            <w:tab/>
          </w:r>
          <w:r>
            <w:fldChar w:fldCharType="begin"/>
          </w:r>
          <w:r>
            <w:instrText xml:space="preserve"> PAGEREF _Toc97346271 \h </w:instrText>
          </w:r>
          <w:r>
            <w:fldChar w:fldCharType="separate"/>
          </w:r>
          <w:r>
            <w:t>9</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4"/>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_Toc1855400811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第二篇 以改革创新为引领，加快打造区域引领性绿色经济发展实践区</w:t>
          </w:r>
          <w:r>
            <w:tab/>
          </w:r>
          <w:r>
            <w:fldChar w:fldCharType="begin"/>
          </w:r>
          <w:r>
            <w:instrText xml:space="preserve"> PAGEREF _Toc1855400811 \h </w:instrText>
          </w:r>
          <w:r>
            <w:fldChar w:fldCharType="separate"/>
          </w:r>
          <w:r>
            <w:t>12</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6"/>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_Toc1924678654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第四章 建设高质量现代化产业体系，巩固壮大实体经济根基</w:t>
          </w:r>
          <w:r>
            <w:tab/>
          </w:r>
          <w:r>
            <w:fldChar w:fldCharType="begin"/>
          </w:r>
          <w:r>
            <w:instrText xml:space="preserve"> PAGEREF _Toc1924678654 \h </w:instrText>
          </w:r>
          <w:r>
            <w:fldChar w:fldCharType="separate"/>
          </w:r>
          <w:r>
            <w:t>12</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_Toc1467969012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第一节 优化提升传统优势产业</w:t>
          </w:r>
          <w:r>
            <w:tab/>
          </w:r>
          <w:r>
            <w:fldChar w:fldCharType="begin"/>
          </w:r>
          <w:r>
            <w:instrText xml:space="preserve"> PAGEREF _Toc1467969012 \h </w:instrText>
          </w:r>
          <w:r>
            <w:fldChar w:fldCharType="separate"/>
          </w:r>
          <w:r>
            <w:t>12</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_Toc1899593059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第二节 培育壮大新兴产业和未来产业</w:t>
          </w:r>
          <w:r>
            <w:tab/>
          </w:r>
          <w:r>
            <w:fldChar w:fldCharType="begin"/>
          </w:r>
          <w:r>
            <w:instrText xml:space="preserve"> PAGEREF _Toc1899593059 \h </w:instrText>
          </w:r>
          <w:r>
            <w:fldChar w:fldCharType="separate"/>
          </w:r>
          <w:r>
            <w:t>14</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_Toc173215860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szCs w:val="32"/>
              <w:highlight w:val="none"/>
              <w:shd w:val="clear" w:color="auto" w:fill="auto"/>
              <w:lang w:val="en-US" w:eastAsia="zh-CN"/>
            </w:rPr>
            <w:t>第三节 促进服务经济提质扩能</w:t>
          </w:r>
          <w:r>
            <w:tab/>
          </w:r>
          <w:r>
            <w:fldChar w:fldCharType="begin"/>
          </w:r>
          <w:r>
            <w:instrText xml:space="preserve"> PAGEREF _Toc173215860 \h </w:instrText>
          </w:r>
          <w:r>
            <w:fldChar w:fldCharType="separate"/>
          </w:r>
          <w:r>
            <w:t>17</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_Toc579994938 </w:instrText>
          </w:r>
          <w:r>
            <w:rPr>
              <w:rFonts w:ascii="宋体" w:hAnsi="宋体" w:eastAsia="方正小标宋简体" w:cs="Times New Roman"/>
              <w:strike w:val="0"/>
              <w:dstrike w:val="0"/>
              <w:szCs w:val="36"/>
              <w:highlight w:val="none"/>
              <w:shd w:val="clear" w:color="auto" w:fill="auto"/>
            </w:rPr>
            <w:fldChar w:fldCharType="separate"/>
          </w:r>
          <w:r>
            <w:rPr>
              <w:rFonts w:hint="default"/>
              <w:strike w:val="0"/>
              <w:dstrike w:val="0"/>
              <w:szCs w:val="32"/>
              <w:highlight w:val="none"/>
              <w:shd w:val="clear" w:color="auto" w:fill="auto"/>
              <w:lang w:val="en-US" w:eastAsia="zh-CN"/>
            </w:rPr>
            <w:t>第</w:t>
          </w:r>
          <w:r>
            <w:rPr>
              <w:rFonts w:hint="eastAsia"/>
              <w:strike w:val="0"/>
              <w:dstrike w:val="0"/>
              <w:szCs w:val="32"/>
              <w:highlight w:val="none"/>
              <w:shd w:val="clear" w:color="auto" w:fill="auto"/>
              <w:lang w:val="en-US" w:eastAsia="zh-CN"/>
            </w:rPr>
            <w:t>四</w:t>
          </w:r>
          <w:r>
            <w:rPr>
              <w:rFonts w:hint="default"/>
              <w:strike w:val="0"/>
              <w:dstrike w:val="0"/>
              <w:szCs w:val="32"/>
              <w:highlight w:val="none"/>
              <w:shd w:val="clear" w:color="auto" w:fill="auto"/>
              <w:lang w:val="en-US" w:eastAsia="zh-CN"/>
            </w:rPr>
            <w:t xml:space="preserve">节 </w:t>
          </w:r>
          <w:r>
            <w:rPr>
              <w:rFonts w:hint="eastAsia"/>
              <w:strike w:val="0"/>
              <w:dstrike w:val="0"/>
              <w:szCs w:val="32"/>
              <w:highlight w:val="none"/>
              <w:shd w:val="clear" w:color="auto" w:fill="auto"/>
              <w:lang w:val="en-US" w:eastAsia="zh-CN"/>
            </w:rPr>
            <w:t>完善产业发展保障体系</w:t>
          </w:r>
          <w:r>
            <w:tab/>
          </w:r>
          <w:r>
            <w:fldChar w:fldCharType="begin"/>
          </w:r>
          <w:r>
            <w:instrText xml:space="preserve"> PAGEREF _Toc579994938 \h </w:instrText>
          </w:r>
          <w:r>
            <w:fldChar w:fldCharType="separate"/>
          </w:r>
          <w:r>
            <w:t>18</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6"/>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_Toc272514125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szCs w:val="32"/>
              <w:highlight w:val="none"/>
              <w:shd w:val="clear" w:color="auto" w:fill="auto"/>
              <w:lang w:val="en-US" w:eastAsia="zh-CN"/>
            </w:rPr>
            <w:t>第五章 以科技创新引领产业创新，因地制宜发展新质生产力</w:t>
          </w:r>
          <w:r>
            <w:tab/>
          </w:r>
          <w:r>
            <w:fldChar w:fldCharType="begin"/>
          </w:r>
          <w:r>
            <w:instrText xml:space="preserve"> PAGEREF _Toc272514125 \h </w:instrText>
          </w:r>
          <w:r>
            <w:fldChar w:fldCharType="separate"/>
          </w:r>
          <w:r>
            <w:t>19</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_Toc604768657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szCs w:val="32"/>
              <w:highlight w:val="none"/>
              <w:shd w:val="clear" w:color="auto" w:fill="auto"/>
              <w:lang w:val="en-US" w:eastAsia="zh-CN"/>
            </w:rPr>
            <w:t>第一节 深入实施人才强市战略</w:t>
          </w:r>
          <w:r>
            <w:tab/>
          </w:r>
          <w:r>
            <w:fldChar w:fldCharType="begin"/>
          </w:r>
          <w:r>
            <w:instrText xml:space="preserve"> PAGEREF _Toc604768657 \h </w:instrText>
          </w:r>
          <w:r>
            <w:fldChar w:fldCharType="separate"/>
          </w:r>
          <w:r>
            <w:t>19</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_Toc1823258635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szCs w:val="32"/>
              <w:highlight w:val="none"/>
              <w:shd w:val="clear" w:color="auto" w:fill="auto"/>
              <w:lang w:val="en-US" w:eastAsia="zh-CN"/>
            </w:rPr>
            <w:t>第二节 强化企业创新主体地位</w:t>
          </w:r>
          <w:r>
            <w:tab/>
          </w:r>
          <w:r>
            <w:fldChar w:fldCharType="begin"/>
          </w:r>
          <w:r>
            <w:instrText xml:space="preserve"> PAGEREF _Toc1823258635 \h </w:instrText>
          </w:r>
          <w:r>
            <w:fldChar w:fldCharType="separate"/>
          </w:r>
          <w:r>
            <w:t>20</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_Toc355036345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szCs w:val="32"/>
              <w:highlight w:val="none"/>
              <w:shd w:val="clear" w:color="auto" w:fill="auto"/>
              <w:lang w:val="en-US" w:eastAsia="zh-CN"/>
            </w:rPr>
            <w:t>第三节 完善创新创业生态系统</w:t>
          </w:r>
          <w:r>
            <w:tab/>
          </w:r>
          <w:r>
            <w:fldChar w:fldCharType="begin"/>
          </w:r>
          <w:r>
            <w:instrText xml:space="preserve"> PAGEREF _Toc355036345 \h </w:instrText>
          </w:r>
          <w:r>
            <w:fldChar w:fldCharType="separate"/>
          </w:r>
          <w:r>
            <w:t>21</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6"/>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_Toc1717685184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szCs w:val="32"/>
              <w:highlight w:val="none"/>
              <w:shd w:val="clear" w:color="auto" w:fill="auto"/>
              <w:lang w:val="en-US" w:eastAsia="zh-CN"/>
            </w:rPr>
            <w:t>第六章 进一步全面深化改革，激发发展内生动力活力</w:t>
          </w:r>
          <w:r>
            <w:tab/>
          </w:r>
          <w:r>
            <w:fldChar w:fldCharType="begin"/>
          </w:r>
          <w:r>
            <w:instrText xml:space="preserve"> PAGEREF _Toc1717685184 \h </w:instrText>
          </w:r>
          <w:r>
            <w:fldChar w:fldCharType="separate"/>
          </w:r>
          <w:r>
            <w:t>22</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_Toc1958949697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szCs w:val="32"/>
              <w:highlight w:val="none"/>
              <w:shd w:val="clear" w:color="auto" w:fill="auto"/>
              <w:lang w:val="en-US" w:eastAsia="zh-CN"/>
            </w:rPr>
            <w:t>第一节 主动融入全国统一大市场建设</w:t>
          </w:r>
          <w:r>
            <w:tab/>
          </w:r>
          <w:r>
            <w:fldChar w:fldCharType="begin"/>
          </w:r>
          <w:r>
            <w:instrText xml:space="preserve"> PAGEREF _Toc1958949697 \h </w:instrText>
          </w:r>
          <w:r>
            <w:fldChar w:fldCharType="separate"/>
          </w:r>
          <w:r>
            <w:t>22</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_Toc131936348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szCs w:val="32"/>
              <w:highlight w:val="none"/>
              <w:shd w:val="clear" w:color="auto" w:fill="auto"/>
              <w:lang w:val="en-US" w:eastAsia="zh-CN"/>
            </w:rPr>
            <w:t>第二节 营造市场化、法治化、国际化一流营商环境</w:t>
          </w:r>
          <w:r>
            <w:tab/>
          </w:r>
          <w:r>
            <w:fldChar w:fldCharType="begin"/>
          </w:r>
          <w:r>
            <w:instrText xml:space="preserve"> PAGEREF _Toc131936348 \h </w:instrText>
          </w:r>
          <w:r>
            <w:fldChar w:fldCharType="separate"/>
          </w:r>
          <w:r>
            <w:t>23</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_Toc1090032549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szCs w:val="32"/>
              <w:highlight w:val="none"/>
              <w:shd w:val="clear" w:color="auto" w:fill="auto"/>
              <w:lang w:val="en-US" w:eastAsia="zh-CN"/>
            </w:rPr>
            <w:t>第三节 充分激发各类经营主体发展活力</w:t>
          </w:r>
          <w:r>
            <w:tab/>
          </w:r>
          <w:r>
            <w:fldChar w:fldCharType="begin"/>
          </w:r>
          <w:r>
            <w:instrText xml:space="preserve"> PAGEREF _Toc1090032549 \h </w:instrText>
          </w:r>
          <w:r>
            <w:fldChar w:fldCharType="separate"/>
          </w:r>
          <w:r>
            <w:t>25</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_Toc1349580089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szCs w:val="32"/>
              <w:highlight w:val="none"/>
              <w:shd w:val="clear" w:color="auto" w:fill="auto"/>
              <w:lang w:val="en-US" w:eastAsia="zh-CN"/>
            </w:rPr>
            <w:t>第四节 统筹推进财税金融体制改革</w:t>
          </w:r>
          <w:r>
            <w:tab/>
          </w:r>
          <w:r>
            <w:fldChar w:fldCharType="begin"/>
          </w:r>
          <w:r>
            <w:instrText xml:space="preserve"> PAGEREF _Toc1349580089 \h </w:instrText>
          </w:r>
          <w:r>
            <w:fldChar w:fldCharType="separate"/>
          </w:r>
          <w:r>
            <w:t>26</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_Toc2058867311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szCs w:val="32"/>
              <w:highlight w:val="none"/>
              <w:shd w:val="clear" w:color="auto" w:fill="auto"/>
              <w:lang w:val="en-US" w:eastAsia="zh-CN"/>
            </w:rPr>
            <w:t>第五节 进一步深化园区改革</w:t>
          </w:r>
          <w:r>
            <w:tab/>
          </w:r>
          <w:r>
            <w:fldChar w:fldCharType="begin"/>
          </w:r>
          <w:r>
            <w:instrText xml:space="preserve"> PAGEREF _Toc2058867311 \h </w:instrText>
          </w:r>
          <w:r>
            <w:fldChar w:fldCharType="separate"/>
          </w:r>
          <w:r>
            <w:t>27</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6"/>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_Toc261851294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szCs w:val="32"/>
              <w:highlight w:val="none"/>
              <w:shd w:val="clear" w:color="auto" w:fill="auto"/>
              <w:lang w:val="en-US" w:eastAsia="zh-CN"/>
            </w:rPr>
            <w:t>第七章 立足自身资源禀赋，主动服务和融入新发展格局</w:t>
          </w:r>
          <w:r>
            <w:tab/>
          </w:r>
          <w:r>
            <w:fldChar w:fldCharType="begin"/>
          </w:r>
          <w:r>
            <w:instrText xml:space="preserve"> PAGEREF _Toc261851294 \h </w:instrText>
          </w:r>
          <w:r>
            <w:fldChar w:fldCharType="separate"/>
          </w:r>
          <w:r>
            <w:t>28</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_Toc817037571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szCs w:val="32"/>
              <w:highlight w:val="none"/>
              <w:shd w:val="clear" w:color="auto" w:fill="auto"/>
              <w:lang w:val="en-US" w:eastAsia="zh-CN"/>
            </w:rPr>
            <w:t>第一节 实施供给提质行动，全面提振消费活力</w:t>
          </w:r>
          <w:r>
            <w:tab/>
          </w:r>
          <w:r>
            <w:fldChar w:fldCharType="begin"/>
          </w:r>
          <w:r>
            <w:instrText xml:space="preserve"> PAGEREF _Toc817037571 \h </w:instrText>
          </w:r>
          <w:r>
            <w:fldChar w:fldCharType="separate"/>
          </w:r>
          <w:r>
            <w:t>28</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_Toc605455790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lang w:val="en-US" w:eastAsia="zh-CN"/>
            </w:rPr>
            <w:t>第二节 优化投资结构布局，全力扩大有效投资</w:t>
          </w:r>
          <w:r>
            <w:tab/>
          </w:r>
          <w:r>
            <w:fldChar w:fldCharType="begin"/>
          </w:r>
          <w:r>
            <w:instrText xml:space="preserve"> PAGEREF _Toc605455790 \h </w:instrText>
          </w:r>
          <w:r>
            <w:fldChar w:fldCharType="separate"/>
          </w:r>
          <w:r>
            <w:t>31</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_Toc994185449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第三节 提升开放合作水平，实现双循环良性互动</w:t>
          </w:r>
          <w:r>
            <w:tab/>
          </w:r>
          <w:r>
            <w:fldChar w:fldCharType="begin"/>
          </w:r>
          <w:r>
            <w:instrText xml:space="preserve"> PAGEREF _Toc994185449 \h </w:instrText>
          </w:r>
          <w:r>
            <w:fldChar w:fldCharType="separate"/>
          </w:r>
          <w:r>
            <w:t>32</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_Toc1911076122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第四节 加强区域合作交流，构筑协调发展新格局</w:t>
          </w:r>
          <w:r>
            <w:tab/>
          </w:r>
          <w:r>
            <w:fldChar w:fldCharType="begin"/>
          </w:r>
          <w:r>
            <w:instrText xml:space="preserve"> PAGEREF _Toc1911076122 \h </w:instrText>
          </w:r>
          <w:r>
            <w:fldChar w:fldCharType="separate"/>
          </w:r>
          <w:r>
            <w:t>33</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4"/>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_Toc1229062752 </w:instrText>
          </w:r>
          <w:r>
            <w:rPr>
              <w:rFonts w:ascii="宋体" w:hAnsi="宋体" w:eastAsia="方正小标宋简体" w:cs="Times New Roman"/>
              <w:strike w:val="0"/>
              <w:dstrike w:val="0"/>
              <w:szCs w:val="36"/>
              <w:highlight w:val="none"/>
              <w:shd w:val="clear" w:color="auto" w:fill="auto"/>
            </w:rPr>
            <w:fldChar w:fldCharType="separate"/>
          </w:r>
          <w:r>
            <w:rPr>
              <w:rFonts w:hint="default" w:asciiTheme="minorAscii" w:hAnsiTheme="minorAscii"/>
              <w:strike w:val="0"/>
              <w:dstrike w:val="0"/>
              <w:w w:val="98"/>
              <w:highlight w:val="none"/>
              <w:shd w:val="clear" w:color="auto" w:fill="auto"/>
              <w:lang w:val="en-US" w:eastAsia="zh-CN"/>
            </w:rPr>
            <w:t>第三篇 以人民美好生活为导向，</w:t>
          </w:r>
          <w:r>
            <w:rPr>
              <w:rFonts w:hint="eastAsia"/>
              <w:strike w:val="0"/>
              <w:dstrike w:val="0"/>
              <w:w w:val="98"/>
              <w:highlight w:val="none"/>
              <w:shd w:val="clear" w:color="auto" w:fill="auto"/>
              <w:lang w:val="en-US" w:eastAsia="zh-CN"/>
            </w:rPr>
            <w:t>加快</w:t>
          </w:r>
          <w:r>
            <w:rPr>
              <w:rFonts w:hint="default" w:asciiTheme="minorAscii" w:hAnsiTheme="minorAscii"/>
              <w:strike w:val="0"/>
              <w:dstrike w:val="0"/>
              <w:w w:val="98"/>
              <w:highlight w:val="none"/>
              <w:shd w:val="clear" w:color="auto" w:fill="auto"/>
              <w:lang w:val="en-US" w:eastAsia="zh-CN"/>
            </w:rPr>
            <w:t>建设</w:t>
          </w:r>
          <w:r>
            <w:rPr>
              <w:rFonts w:hint="eastAsia"/>
              <w:strike w:val="0"/>
              <w:dstrike w:val="0"/>
              <w:w w:val="98"/>
              <w:highlight w:val="none"/>
              <w:shd w:val="clear" w:color="auto" w:fill="auto"/>
              <w:lang w:val="en-US" w:eastAsia="zh-CN"/>
            </w:rPr>
            <w:t>北黄海</w:t>
          </w:r>
          <w:r>
            <w:rPr>
              <w:rFonts w:hint="default" w:asciiTheme="minorAscii" w:hAnsiTheme="minorAscii"/>
              <w:strike w:val="0"/>
              <w:dstrike w:val="0"/>
              <w:w w:val="98"/>
              <w:highlight w:val="none"/>
              <w:shd w:val="clear" w:color="auto" w:fill="auto"/>
              <w:lang w:val="en-US" w:eastAsia="zh-CN"/>
            </w:rPr>
            <w:t>生态型现代化海滨城市</w:t>
          </w:r>
          <w:r>
            <w:tab/>
          </w:r>
          <w:r>
            <w:fldChar w:fldCharType="begin"/>
          </w:r>
          <w:r>
            <w:instrText xml:space="preserve"> PAGEREF _Toc1229062752 \h </w:instrText>
          </w:r>
          <w:r>
            <w:fldChar w:fldCharType="separate"/>
          </w:r>
          <w:r>
            <w:t>35</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6"/>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_Toc416799870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第八章 坚持陆海统筹，加快建设现代化海洋强市</w:t>
          </w:r>
          <w:r>
            <w:tab/>
          </w:r>
          <w:r>
            <w:fldChar w:fldCharType="begin"/>
          </w:r>
          <w:r>
            <w:instrText xml:space="preserve"> PAGEREF _Toc416799870 \h </w:instrText>
          </w:r>
          <w:r>
            <w:fldChar w:fldCharType="separate"/>
          </w:r>
          <w:r>
            <w:t>35</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_Toc1783029098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第一节 构建人与自然和谐共生的国土空间开发格局</w:t>
          </w:r>
          <w:r>
            <w:tab/>
          </w:r>
          <w:r>
            <w:fldChar w:fldCharType="begin"/>
          </w:r>
          <w:r>
            <w:instrText xml:space="preserve"> PAGEREF _Toc1783029098 \h </w:instrText>
          </w:r>
          <w:r>
            <w:fldChar w:fldCharType="separate"/>
          </w:r>
          <w:r>
            <w:t>35</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_Toc358065490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第二节 优化一轴三带一核四组团经济发展总体布局</w:t>
          </w:r>
          <w:r>
            <w:tab/>
          </w:r>
          <w:r>
            <w:fldChar w:fldCharType="begin"/>
          </w:r>
          <w:r>
            <w:instrText xml:space="preserve"> PAGEREF _Toc358065490 \h </w:instrText>
          </w:r>
          <w:r>
            <w:fldChar w:fldCharType="separate"/>
          </w:r>
          <w:r>
            <w:t>37</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_Toc1624144808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第三节 统筹海洋开发利用空间</w:t>
          </w:r>
          <w:r>
            <w:tab/>
          </w:r>
          <w:r>
            <w:fldChar w:fldCharType="begin"/>
          </w:r>
          <w:r>
            <w:instrText xml:space="preserve"> PAGEREF _Toc1624144808 \h </w:instrText>
          </w:r>
          <w:r>
            <w:fldChar w:fldCharType="separate"/>
          </w:r>
          <w:r>
            <w:t>41</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_Toc1604713415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第四节 推动海洋经济特色发展</w:t>
          </w:r>
          <w:r>
            <w:tab/>
          </w:r>
          <w:r>
            <w:fldChar w:fldCharType="begin"/>
          </w:r>
          <w:r>
            <w:instrText xml:space="preserve"> PAGEREF _Toc1604713415 \h </w:instrText>
          </w:r>
          <w:r>
            <w:fldChar w:fldCharType="separate"/>
          </w:r>
          <w:r>
            <w:t>43</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_Toc1250750202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szCs w:val="32"/>
              <w:highlight w:val="none"/>
              <w:lang w:val="en-US" w:eastAsia="zh-CN"/>
            </w:rPr>
            <w:t>第五节 筑牢海洋蓝色生态屏障</w:t>
          </w:r>
          <w:r>
            <w:tab/>
          </w:r>
          <w:r>
            <w:fldChar w:fldCharType="begin"/>
          </w:r>
          <w:r>
            <w:instrText xml:space="preserve"> PAGEREF _Toc1250750202 \h </w:instrText>
          </w:r>
          <w:r>
            <w:fldChar w:fldCharType="separate"/>
          </w:r>
          <w:r>
            <w:t>46</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6"/>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_Toc251746977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szCs w:val="32"/>
              <w:highlight w:val="none"/>
              <w:shd w:val="clear" w:color="auto" w:fill="auto"/>
              <w:lang w:val="en-US" w:eastAsia="zh-CN"/>
            </w:rPr>
            <w:t>第九章 促进城乡融合，统筹推进新型城镇化和乡村全面振兴</w:t>
          </w:r>
          <w:r>
            <w:tab/>
          </w:r>
          <w:r>
            <w:fldChar w:fldCharType="begin"/>
          </w:r>
          <w:r>
            <w:instrText xml:space="preserve"> PAGEREF _Toc251746977 \h </w:instrText>
          </w:r>
          <w:r>
            <w:fldChar w:fldCharType="separate"/>
          </w:r>
          <w:r>
            <w:t>46</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_Toc84829923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szCs w:val="32"/>
              <w:highlight w:val="none"/>
              <w:shd w:val="clear" w:color="auto" w:fill="auto"/>
              <w:lang w:val="en-US" w:eastAsia="zh-CN"/>
            </w:rPr>
            <w:t>第一节 深入推进以人为本的新型城镇化建设</w:t>
          </w:r>
          <w:r>
            <w:tab/>
          </w:r>
          <w:r>
            <w:fldChar w:fldCharType="begin"/>
          </w:r>
          <w:r>
            <w:instrText xml:space="preserve"> PAGEREF _Toc84829923 \h </w:instrText>
          </w:r>
          <w:r>
            <w:fldChar w:fldCharType="separate"/>
          </w:r>
          <w:r>
            <w:t>46</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_Toc1348096473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szCs w:val="32"/>
              <w:highlight w:val="none"/>
              <w:shd w:val="clear" w:color="auto" w:fill="auto"/>
              <w:lang w:val="en-US" w:eastAsia="zh-CN"/>
            </w:rPr>
            <w:t xml:space="preserve">第二节 </w:t>
          </w:r>
          <w:r>
            <w:rPr>
              <w:rFonts w:hint="eastAsia" w:ascii="Times New Roman" w:hAnsi="Times New Roman" w:eastAsia="楷体_GB2312" w:cs="Arial"/>
              <w:bCs/>
              <w:strike w:val="0"/>
              <w:dstrike w:val="0"/>
              <w:szCs w:val="32"/>
              <w:highlight w:val="none"/>
            </w:rPr>
            <w:t>统筹</w:t>
          </w:r>
          <w:r>
            <w:rPr>
              <w:rFonts w:ascii="Times New Roman" w:hAnsi="Times New Roman" w:eastAsia="楷体_GB2312" w:cs="Arial"/>
              <w:bCs/>
              <w:strike w:val="0"/>
              <w:dstrike w:val="0"/>
              <w:szCs w:val="32"/>
              <w:highlight w:val="none"/>
            </w:rPr>
            <w:t>城市功能提升和基础设施建设</w:t>
          </w:r>
          <w:r>
            <w:tab/>
          </w:r>
          <w:r>
            <w:fldChar w:fldCharType="begin"/>
          </w:r>
          <w:r>
            <w:instrText xml:space="preserve"> PAGEREF _Toc1348096473 \h </w:instrText>
          </w:r>
          <w:r>
            <w:fldChar w:fldCharType="separate"/>
          </w:r>
          <w:r>
            <w:t>47</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_Toc2107147788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第三节 提升农业综合生产能力和质量效益</w:t>
          </w:r>
          <w:r>
            <w:tab/>
          </w:r>
          <w:r>
            <w:fldChar w:fldCharType="begin"/>
          </w:r>
          <w:r>
            <w:instrText xml:space="preserve"> PAGEREF _Toc2107147788 \h </w:instrText>
          </w:r>
          <w:r>
            <w:fldChar w:fldCharType="separate"/>
          </w:r>
          <w:r>
            <w:t>50</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_Toc2009508577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 xml:space="preserve">第四节 </w:t>
          </w:r>
          <w:r>
            <w:rPr>
              <w:rFonts w:hint="eastAsia" w:ascii="Times New Roman" w:hAnsi="Times New Roman" w:eastAsia="楷体_GB2312" w:cs="Arial"/>
              <w:bCs/>
              <w:strike w:val="0"/>
              <w:dstrike w:val="0"/>
              <w:highlight w:val="none"/>
            </w:rPr>
            <w:t>推进</w:t>
          </w:r>
          <w:r>
            <w:rPr>
              <w:rFonts w:ascii="Times New Roman" w:hAnsi="Times New Roman" w:eastAsia="楷体_GB2312" w:cs="Arial"/>
              <w:bCs/>
              <w:strike w:val="0"/>
              <w:dstrike w:val="0"/>
              <w:highlight w:val="none"/>
            </w:rPr>
            <w:t>宜居宜业和美乡村建设</w:t>
          </w:r>
          <w:r>
            <w:tab/>
          </w:r>
          <w:r>
            <w:fldChar w:fldCharType="begin"/>
          </w:r>
          <w:r>
            <w:instrText xml:space="preserve"> PAGEREF _Toc2009508577 \h </w:instrText>
          </w:r>
          <w:r>
            <w:fldChar w:fldCharType="separate"/>
          </w:r>
          <w:r>
            <w:t>52</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_Toc668581838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第五节 深化农业农村改革</w:t>
          </w:r>
          <w:r>
            <w:tab/>
          </w:r>
          <w:r>
            <w:fldChar w:fldCharType="begin"/>
          </w:r>
          <w:r>
            <w:instrText xml:space="preserve"> PAGEREF _Toc668581838 \h </w:instrText>
          </w:r>
          <w:r>
            <w:fldChar w:fldCharType="separate"/>
          </w:r>
          <w:r>
            <w:t>54</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6"/>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_Toc1859257199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第十章 加强现代化基础设施建设，提升县域综合承载力</w:t>
          </w:r>
          <w:r>
            <w:tab/>
          </w:r>
          <w:r>
            <w:fldChar w:fldCharType="begin"/>
          </w:r>
          <w:r>
            <w:instrText xml:space="preserve"> PAGEREF _Toc1859257199 \h </w:instrText>
          </w:r>
          <w:r>
            <w:fldChar w:fldCharType="separate"/>
          </w:r>
          <w:r>
            <w:t>55</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_Toc35240789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第一节 完善现代化交通运输体系</w:t>
          </w:r>
          <w:r>
            <w:tab/>
          </w:r>
          <w:r>
            <w:fldChar w:fldCharType="begin"/>
          </w:r>
          <w:r>
            <w:instrText xml:space="preserve"> PAGEREF _Toc35240789 \h </w:instrText>
          </w:r>
          <w:r>
            <w:fldChar w:fldCharType="separate"/>
          </w:r>
          <w:r>
            <w:t>55</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_Toc1248576776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第二节 提升现代化水网建设水平</w:t>
          </w:r>
          <w:r>
            <w:tab/>
          </w:r>
          <w:r>
            <w:fldChar w:fldCharType="begin"/>
          </w:r>
          <w:r>
            <w:instrText xml:space="preserve"> PAGEREF _Toc1248576776 \h </w:instrText>
          </w:r>
          <w:r>
            <w:fldChar w:fldCharType="separate"/>
          </w:r>
          <w:r>
            <w:t>58</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_Toc2131771324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第三节 高质量建设数据基础设施</w:t>
          </w:r>
          <w:r>
            <w:tab/>
          </w:r>
          <w:r>
            <w:fldChar w:fldCharType="begin"/>
          </w:r>
          <w:r>
            <w:instrText xml:space="preserve"> PAGEREF _Toc2131771324 \h </w:instrText>
          </w:r>
          <w:r>
            <w:fldChar w:fldCharType="separate"/>
          </w:r>
          <w:r>
            <w:t>59</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6"/>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_Toc640009446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第十一章 完善普惠共享的现代化民生福祉体系</w:t>
          </w:r>
          <w:r>
            <w:tab/>
          </w:r>
          <w:r>
            <w:fldChar w:fldCharType="begin"/>
          </w:r>
          <w:r>
            <w:instrText xml:space="preserve"> PAGEREF _Toc640009446 \h </w:instrText>
          </w:r>
          <w:r>
            <w:fldChar w:fldCharType="separate"/>
          </w:r>
          <w:r>
            <w:t>60</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_Toc924351764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第一节 促进高质量充分就业</w:t>
          </w:r>
          <w:r>
            <w:tab/>
          </w:r>
          <w:r>
            <w:fldChar w:fldCharType="begin"/>
          </w:r>
          <w:r>
            <w:instrText xml:space="preserve"> PAGEREF _Toc924351764 \h </w:instrText>
          </w:r>
          <w:r>
            <w:fldChar w:fldCharType="separate"/>
          </w:r>
          <w:r>
            <w:t>61</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_Toc339324022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第二节 健全社会保障体系</w:t>
          </w:r>
          <w:r>
            <w:tab/>
          </w:r>
          <w:r>
            <w:fldChar w:fldCharType="begin"/>
          </w:r>
          <w:r>
            <w:instrText xml:space="preserve"> PAGEREF _Toc339324022 \h </w:instrText>
          </w:r>
          <w:r>
            <w:fldChar w:fldCharType="separate"/>
          </w:r>
          <w:r>
            <w:t>63</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_Toc210210982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第三节 办好人民满意教育</w:t>
          </w:r>
          <w:r>
            <w:tab/>
          </w:r>
          <w:r>
            <w:fldChar w:fldCharType="begin"/>
          </w:r>
          <w:r>
            <w:instrText xml:space="preserve"> PAGEREF _Toc210210982 \h </w:instrText>
          </w:r>
          <w:r>
            <w:fldChar w:fldCharType="separate"/>
          </w:r>
          <w:r>
            <w:t>64</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_Toc735817813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第四节 加强健康庄河建设</w:t>
          </w:r>
          <w:r>
            <w:tab/>
          </w:r>
          <w:r>
            <w:fldChar w:fldCharType="begin"/>
          </w:r>
          <w:r>
            <w:instrText xml:space="preserve"> PAGEREF _Toc735817813 \h </w:instrText>
          </w:r>
          <w:r>
            <w:fldChar w:fldCharType="separate"/>
          </w:r>
          <w:r>
            <w:t>66</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_Toc471260370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szCs w:val="32"/>
              <w:highlight w:val="none"/>
              <w:shd w:val="clear" w:color="auto" w:fill="auto"/>
              <w:lang w:val="en-US" w:eastAsia="zh-CN"/>
            </w:rPr>
            <w:t>第五节 聚焦“一老一小”促进人口高质量发展</w:t>
          </w:r>
          <w:r>
            <w:tab/>
          </w:r>
          <w:r>
            <w:fldChar w:fldCharType="begin"/>
          </w:r>
          <w:r>
            <w:instrText xml:space="preserve"> PAGEREF _Toc471260370 \h </w:instrText>
          </w:r>
          <w:r>
            <w:fldChar w:fldCharType="separate"/>
          </w:r>
          <w:r>
            <w:t>69</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6"/>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_Toc1300243532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szCs w:val="32"/>
              <w:highlight w:val="none"/>
              <w:shd w:val="clear" w:color="auto" w:fill="auto"/>
              <w:lang w:val="en-US" w:eastAsia="zh-CN"/>
            </w:rPr>
            <w:t>第十二章 坚持人与自然和谐共生，加快推进生态庄河建设</w:t>
          </w:r>
          <w:r>
            <w:tab/>
          </w:r>
          <w:r>
            <w:fldChar w:fldCharType="begin"/>
          </w:r>
          <w:r>
            <w:instrText xml:space="preserve"> PAGEREF _Toc1300243532 \h </w:instrText>
          </w:r>
          <w:r>
            <w:fldChar w:fldCharType="separate"/>
          </w:r>
          <w:r>
            <w:t>70</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_Toc2085397902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szCs w:val="32"/>
              <w:highlight w:val="none"/>
              <w:shd w:val="clear" w:color="auto" w:fill="auto"/>
              <w:lang w:val="en-US" w:eastAsia="zh-CN"/>
            </w:rPr>
            <w:t>第一节 持续改善生态环境品质</w:t>
          </w:r>
          <w:r>
            <w:tab/>
          </w:r>
          <w:r>
            <w:fldChar w:fldCharType="begin"/>
          </w:r>
          <w:r>
            <w:instrText xml:space="preserve"> PAGEREF _Toc2085397902 \h </w:instrText>
          </w:r>
          <w:r>
            <w:fldChar w:fldCharType="separate"/>
          </w:r>
          <w:r>
            <w:t>71</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_Toc382644033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szCs w:val="32"/>
              <w:highlight w:val="none"/>
              <w:shd w:val="clear" w:color="auto" w:fill="auto"/>
              <w:lang w:val="en-US" w:eastAsia="zh-CN"/>
            </w:rPr>
            <w:t>第二节 巩固生态保护修复成果</w:t>
          </w:r>
          <w:r>
            <w:tab/>
          </w:r>
          <w:r>
            <w:fldChar w:fldCharType="begin"/>
          </w:r>
          <w:r>
            <w:instrText xml:space="preserve"> PAGEREF _Toc382644033 \h </w:instrText>
          </w:r>
          <w:r>
            <w:fldChar w:fldCharType="separate"/>
          </w:r>
          <w:r>
            <w:t>72</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_Toc1562094826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szCs w:val="32"/>
              <w:highlight w:val="none"/>
              <w:shd w:val="clear" w:color="auto" w:fill="auto"/>
              <w:lang w:val="en-US" w:eastAsia="zh-CN"/>
            </w:rPr>
            <w:t>第三节 加快生产生活方式绿色转型</w:t>
          </w:r>
          <w:r>
            <w:tab/>
          </w:r>
          <w:r>
            <w:fldChar w:fldCharType="begin"/>
          </w:r>
          <w:r>
            <w:instrText xml:space="preserve"> PAGEREF _Toc1562094826 \h </w:instrText>
          </w:r>
          <w:r>
            <w:fldChar w:fldCharType="separate"/>
          </w:r>
          <w:r>
            <w:t>73</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_Toc754951825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szCs w:val="32"/>
              <w:highlight w:val="none"/>
              <w:shd w:val="clear" w:color="auto" w:fill="auto"/>
              <w:lang w:val="en-US" w:eastAsia="zh-CN"/>
            </w:rPr>
            <w:t>第四节 全面提高资源利用效率</w:t>
          </w:r>
          <w:r>
            <w:tab/>
          </w:r>
          <w:r>
            <w:fldChar w:fldCharType="begin"/>
          </w:r>
          <w:r>
            <w:instrText xml:space="preserve"> PAGEREF _Toc754951825 \h </w:instrText>
          </w:r>
          <w:r>
            <w:fldChar w:fldCharType="separate"/>
          </w:r>
          <w:r>
            <w:t>74</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6"/>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_Toc988099824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szCs w:val="32"/>
              <w:highlight w:val="none"/>
              <w:shd w:val="clear" w:color="auto" w:fill="auto"/>
              <w:lang w:val="en-US" w:eastAsia="zh-CN"/>
            </w:rPr>
            <w:t>第十三章 提升庄河文化软实力，建设东北文旅强市</w:t>
          </w:r>
          <w:r>
            <w:tab/>
          </w:r>
          <w:r>
            <w:fldChar w:fldCharType="begin"/>
          </w:r>
          <w:r>
            <w:instrText xml:space="preserve"> PAGEREF _Toc988099824 \h </w:instrText>
          </w:r>
          <w:r>
            <w:fldChar w:fldCharType="separate"/>
          </w:r>
          <w:r>
            <w:t>74</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_Toc408796627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szCs w:val="32"/>
              <w:highlight w:val="none"/>
              <w:shd w:val="clear" w:color="auto" w:fill="auto"/>
              <w:lang w:val="en-US" w:eastAsia="zh-CN"/>
            </w:rPr>
            <w:t>第一节 全面提升社会精神文明程度</w:t>
          </w:r>
          <w:r>
            <w:tab/>
          </w:r>
          <w:r>
            <w:fldChar w:fldCharType="begin"/>
          </w:r>
          <w:r>
            <w:instrText xml:space="preserve"> PAGEREF _Toc408796627 \h </w:instrText>
          </w:r>
          <w:r>
            <w:fldChar w:fldCharType="separate"/>
          </w:r>
          <w:r>
            <w:t>75</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_Toc518544299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szCs w:val="32"/>
              <w:highlight w:val="none"/>
              <w:shd w:val="clear" w:color="auto" w:fill="auto"/>
              <w:lang w:val="en-US" w:eastAsia="zh-CN"/>
            </w:rPr>
            <w:t>第二节 高水平满足人民公共文化需求</w:t>
          </w:r>
          <w:r>
            <w:tab/>
          </w:r>
          <w:r>
            <w:fldChar w:fldCharType="begin"/>
          </w:r>
          <w:r>
            <w:instrText xml:space="preserve"> PAGEREF _Toc518544299 \h </w:instrText>
          </w:r>
          <w:r>
            <w:fldChar w:fldCharType="separate"/>
          </w:r>
          <w:r>
            <w:t>76</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_Toc69678928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szCs w:val="32"/>
              <w:highlight w:val="none"/>
              <w:shd w:val="clear" w:color="auto" w:fill="auto"/>
              <w:lang w:val="en-US" w:eastAsia="zh-CN"/>
            </w:rPr>
            <w:t>第三节 大力推进文体旅深度融合发展</w:t>
          </w:r>
          <w:r>
            <w:tab/>
          </w:r>
          <w:r>
            <w:fldChar w:fldCharType="begin"/>
          </w:r>
          <w:r>
            <w:instrText xml:space="preserve"> PAGEREF _Toc69678928 \h </w:instrText>
          </w:r>
          <w:r>
            <w:fldChar w:fldCharType="separate"/>
          </w:r>
          <w:r>
            <w:t>77</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6"/>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_Toc825596498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第十四章 全面保障安全稳定，着力建设平安庄河</w:t>
          </w:r>
          <w:r>
            <w:tab/>
          </w:r>
          <w:r>
            <w:fldChar w:fldCharType="begin"/>
          </w:r>
          <w:r>
            <w:instrText xml:space="preserve"> PAGEREF _Toc825596498 \h </w:instrText>
          </w:r>
          <w:r>
            <w:fldChar w:fldCharType="separate"/>
          </w:r>
          <w:r>
            <w:t>79</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_Toc154089750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 xml:space="preserve">第一节 </w:t>
          </w:r>
          <w:r>
            <w:rPr>
              <w:rFonts w:hint="eastAsia" w:ascii="Times New Roman" w:hAnsi="Times New Roman" w:eastAsia="楷体_GB2312" w:cs="Arial"/>
              <w:strike w:val="0"/>
              <w:dstrike w:val="0"/>
              <w:highlight w:val="none"/>
            </w:rPr>
            <w:t>坚决维护政治安全</w:t>
          </w:r>
          <w:r>
            <w:tab/>
          </w:r>
          <w:r>
            <w:fldChar w:fldCharType="begin"/>
          </w:r>
          <w:r>
            <w:instrText xml:space="preserve"> PAGEREF _Toc154089750 \h </w:instrText>
          </w:r>
          <w:r>
            <w:fldChar w:fldCharType="separate"/>
          </w:r>
          <w:r>
            <w:t>79</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_Toc427744418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第二节 全面保障经济安全</w:t>
          </w:r>
          <w:r>
            <w:tab/>
          </w:r>
          <w:r>
            <w:fldChar w:fldCharType="begin"/>
          </w:r>
          <w:r>
            <w:instrText xml:space="preserve"> PAGEREF _Toc427744418 \h </w:instrText>
          </w:r>
          <w:r>
            <w:fldChar w:fldCharType="separate"/>
          </w:r>
          <w:r>
            <w:t>80</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_Toc302257658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第三节 提高公共安全保障能力</w:t>
          </w:r>
          <w:r>
            <w:tab/>
          </w:r>
          <w:r>
            <w:fldChar w:fldCharType="begin"/>
          </w:r>
          <w:r>
            <w:instrText xml:space="preserve"> PAGEREF _Toc302257658 \h </w:instrText>
          </w:r>
          <w:r>
            <w:fldChar w:fldCharType="separate"/>
          </w:r>
          <w:r>
            <w:t>81</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1"/>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_Toc1758803165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shd w:val="clear" w:color="auto" w:fill="auto"/>
              <w:lang w:val="en-US" w:eastAsia="zh-CN"/>
            </w:rPr>
            <w:t>第四节 全面加强社会治理</w:t>
          </w:r>
          <w:r>
            <w:tab/>
          </w:r>
          <w:r>
            <w:fldChar w:fldCharType="begin"/>
          </w:r>
          <w:r>
            <w:instrText xml:space="preserve"> PAGEREF _Toc1758803165 \h </w:instrText>
          </w:r>
          <w:r>
            <w:fldChar w:fldCharType="separate"/>
          </w:r>
          <w:r>
            <w:t>83</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4"/>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_Toc1678494620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lang w:val="en-US" w:eastAsia="zh-CN"/>
            </w:rPr>
            <w:t>第四篇 完善规划实施保障，共绘现代化壮美蓝图</w:t>
          </w:r>
          <w:r>
            <w:tab/>
          </w:r>
          <w:r>
            <w:fldChar w:fldCharType="begin"/>
          </w:r>
          <w:r>
            <w:instrText xml:space="preserve"> PAGEREF _Toc1678494620 \h </w:instrText>
          </w:r>
          <w:r>
            <w:fldChar w:fldCharType="separate"/>
          </w:r>
          <w:r>
            <w:t>84</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6"/>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_Toc554004635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lang w:val="en-US" w:eastAsia="zh-CN"/>
            </w:rPr>
            <w:t>第十五章 推动形成发展强大合力</w:t>
          </w:r>
          <w:r>
            <w:tab/>
          </w:r>
          <w:r>
            <w:fldChar w:fldCharType="begin"/>
          </w:r>
          <w:r>
            <w:instrText xml:space="preserve"> PAGEREF _Toc554004635 \h </w:instrText>
          </w:r>
          <w:r>
            <w:fldChar w:fldCharType="separate"/>
          </w:r>
          <w:r>
            <w:t>84</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pStyle w:val="16"/>
            <w:tabs>
              <w:tab w:val="right" w:leader="dot" w:pos="9184"/>
            </w:tabs>
          </w:pPr>
          <w:r>
            <w:rPr>
              <w:rFonts w:ascii="宋体" w:hAnsi="宋体" w:eastAsia="方正小标宋简体" w:cs="Times New Roman"/>
              <w:strike w:val="0"/>
              <w:dstrike w:val="0"/>
              <w:color w:val="auto"/>
              <w:szCs w:val="36"/>
              <w:highlight w:val="none"/>
              <w:u w:val="none" w:color="auto"/>
              <w:shd w:val="clear" w:color="auto" w:fill="auto"/>
            </w:rPr>
            <w:fldChar w:fldCharType="begin"/>
          </w:r>
          <w:r>
            <w:rPr>
              <w:rFonts w:ascii="宋体" w:hAnsi="宋体" w:eastAsia="方正小标宋简体" w:cs="Times New Roman"/>
              <w:strike w:val="0"/>
              <w:dstrike w:val="0"/>
              <w:szCs w:val="36"/>
              <w:highlight w:val="none"/>
              <w:shd w:val="clear" w:color="auto" w:fill="auto"/>
            </w:rPr>
            <w:instrText xml:space="preserve"> HYPERLINK \l _Toc1843633088 </w:instrText>
          </w:r>
          <w:r>
            <w:rPr>
              <w:rFonts w:ascii="宋体" w:hAnsi="宋体" w:eastAsia="方正小标宋简体" w:cs="Times New Roman"/>
              <w:strike w:val="0"/>
              <w:dstrike w:val="0"/>
              <w:szCs w:val="36"/>
              <w:highlight w:val="none"/>
              <w:shd w:val="clear" w:color="auto" w:fill="auto"/>
            </w:rPr>
            <w:fldChar w:fldCharType="separate"/>
          </w:r>
          <w:r>
            <w:rPr>
              <w:rFonts w:hint="eastAsia"/>
              <w:strike w:val="0"/>
              <w:dstrike w:val="0"/>
              <w:highlight w:val="none"/>
              <w:lang w:val="en-US" w:eastAsia="zh-CN"/>
            </w:rPr>
            <w:t>第十六章 健全规划制定与落实机制</w:t>
          </w:r>
          <w:r>
            <w:tab/>
          </w:r>
          <w:r>
            <w:fldChar w:fldCharType="begin"/>
          </w:r>
          <w:r>
            <w:instrText xml:space="preserve"> PAGEREF _Toc1843633088 \h </w:instrText>
          </w:r>
          <w:r>
            <w:fldChar w:fldCharType="separate"/>
          </w:r>
          <w:r>
            <w:t>85</w:t>
          </w:r>
          <w:r>
            <w:fldChar w:fldCharType="end"/>
          </w:r>
          <w:r>
            <w:rPr>
              <w:rFonts w:ascii="宋体" w:hAnsi="宋体" w:eastAsia="方正小标宋简体" w:cs="Times New Roman"/>
              <w:strike w:val="0"/>
              <w:dstrike w:val="0"/>
              <w:color w:val="auto"/>
              <w:szCs w:val="36"/>
              <w:highlight w:val="none"/>
              <w:u w:val="none" w:color="auto"/>
              <w:shd w:val="clear" w:color="auto" w:fill="auto"/>
            </w:rPr>
            <w:fldChar w:fldCharType="end"/>
          </w:r>
        </w:p>
        <w:p>
          <w:pPr>
            <w:spacing w:before="312" w:beforeLines="100" w:after="312" w:afterLines="100" w:line="600" w:lineRule="exact"/>
            <w:jc w:val="center"/>
            <w:outlineLvl w:val="0"/>
            <w:rPr>
              <w:strike w:val="0"/>
              <w:dstrike w:val="0"/>
              <w:color w:val="auto"/>
              <w:highlight w:val="none"/>
              <w:u w:val="none" w:color="auto"/>
              <w:shd w:val="clear" w:color="auto" w:fill="auto"/>
            </w:rPr>
            <w:sectPr>
              <w:pgSz w:w="11906" w:h="16838"/>
              <w:pgMar w:top="1417" w:right="1361" w:bottom="1361" w:left="1361" w:header="851" w:footer="992" w:gutter="0"/>
              <w:pgBorders>
                <w:top w:val="none" w:sz="0" w:space="0"/>
                <w:left w:val="none" w:sz="0" w:space="0"/>
                <w:bottom w:val="none" w:sz="0" w:space="0"/>
                <w:right w:val="none" w:sz="0" w:space="0"/>
              </w:pgBorders>
              <w:cols w:space="425" w:num="1"/>
              <w:docGrid w:type="lines" w:linePitch="312" w:charSpace="0"/>
            </w:sectPr>
          </w:pPr>
          <w:r>
            <w:rPr>
              <w:rFonts w:ascii="宋体" w:hAnsi="宋体" w:eastAsia="方正小标宋简体" w:cs="Times New Roman"/>
              <w:strike w:val="0"/>
              <w:dstrike w:val="0"/>
              <w:color w:val="auto"/>
              <w:szCs w:val="36"/>
              <w:highlight w:val="none"/>
              <w:u w:val="none" w:color="auto"/>
              <w:shd w:val="clear" w:color="auto" w:fill="auto"/>
            </w:rPr>
            <w:fldChar w:fldCharType="end"/>
          </w:r>
        </w:p>
      </w:sdtContent>
    </w:sdt>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Pr>
        <w:pStyle w:val="2"/>
        <w:bidi w:val="0"/>
        <w:rPr>
          <w:rFonts w:hint="eastAsia"/>
          <w:strike w:val="0"/>
          <w:dstrike w:val="0"/>
          <w:color w:val="auto"/>
          <w:highlight w:val="none"/>
          <w:u w:val="none" w:color="auto"/>
          <w:shd w:val="clear" w:color="auto" w:fill="auto"/>
          <w:lang w:val="en-US" w:eastAsia="zh-CN"/>
        </w:rPr>
      </w:pPr>
      <w:bookmarkStart w:id="23" w:name="_Toc1570098069"/>
      <w:r>
        <w:rPr>
          <w:rFonts w:hint="eastAsia"/>
          <w:strike w:val="0"/>
          <w:dstrike w:val="0"/>
          <w:color w:val="auto"/>
          <w:highlight w:val="none"/>
          <w:u w:val="none" w:color="auto"/>
          <w:lang w:val="en-US" w:eastAsia="zh-CN"/>
        </w:rPr>
        <w:t>序  言</w:t>
      </w:r>
      <w:bookmarkEnd w:id="23"/>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庄河市国民经济和社会发展第十五个五年（2026－2030年）规划纲要，根据党的二十届四中全会、辽宁省委十三届十次全会、大连市委十三届十一次全会和庄河市委七届十一次全会精神编制，主要阐明庄河未来五年经济社会发展的指导方针、总体目标、主要任务和重大举措，是庄河未来五年发展的宏伟蓝图，是政府履行职责和安排年度工作的重要依据，是市场主体的行为导向，是全市人民共同奋斗的行动纲领。</w:t>
      </w:r>
    </w:p>
    <w:p>
      <w:pPr>
        <w:pStyle w:val="2"/>
        <w:keepNext/>
        <w:keepLines/>
        <w:pageBreakBefore w:val="0"/>
        <w:widowControl w:val="0"/>
        <w:numPr>
          <w:ilvl w:val="0"/>
          <w:numId w:val="0"/>
        </w:numPr>
        <w:kinsoku/>
        <w:wordWrap/>
        <w:overflowPunct/>
        <w:topLinePunct w:val="0"/>
        <w:autoSpaceDE/>
        <w:autoSpaceDN/>
        <w:bidi w:val="0"/>
        <w:adjustRightInd/>
        <w:snapToGrid/>
        <w:spacing w:after="0" w:line="600" w:lineRule="exact"/>
        <w:jc w:val="both"/>
        <w:textAlignment w:val="auto"/>
        <w:rPr>
          <w:rFonts w:hint="eastAsia"/>
          <w:strike w:val="0"/>
          <w:dstrike w:val="0"/>
          <w:color w:val="auto"/>
          <w:highlight w:val="none"/>
          <w:u w:val="none" w:color="auto"/>
          <w:shd w:val="clear" w:color="auto" w:fill="auto"/>
          <w:lang w:val="en-US" w:eastAsia="zh-CN"/>
        </w:rPr>
      </w:pPr>
    </w:p>
    <w:p>
      <w:pPr>
        <w:rPr>
          <w:rFonts w:hint="eastAsia"/>
          <w:strike w:val="0"/>
          <w:dstrike w:val="0"/>
          <w:color w:val="auto"/>
          <w:highlight w:val="none"/>
          <w:u w:val="none" w:color="auto"/>
          <w:shd w:val="clear" w:color="auto" w:fill="auto"/>
          <w:lang w:val="en-US" w:eastAsia="zh-CN"/>
        </w:rPr>
      </w:pPr>
    </w:p>
    <w:p>
      <w:pPr>
        <w:rPr>
          <w:rFonts w:hint="eastAsia"/>
          <w:strike w:val="0"/>
          <w:dstrike w:val="0"/>
          <w:color w:val="auto"/>
          <w:highlight w:val="none"/>
          <w:u w:val="none" w:color="auto"/>
          <w:shd w:val="clear" w:color="auto" w:fill="auto"/>
          <w:lang w:val="en-US" w:eastAsia="zh-CN"/>
        </w:rPr>
      </w:pPr>
    </w:p>
    <w:p>
      <w:pPr>
        <w:rPr>
          <w:rFonts w:hint="eastAsia"/>
          <w:strike w:val="0"/>
          <w:dstrike w:val="0"/>
          <w:color w:val="auto"/>
          <w:highlight w:val="none"/>
          <w:u w:val="none" w:color="auto"/>
          <w:shd w:val="clear" w:color="auto" w:fill="auto"/>
          <w:lang w:val="en-US" w:eastAsia="zh-CN"/>
        </w:rPr>
      </w:pPr>
    </w:p>
    <w:p>
      <w:pPr>
        <w:rPr>
          <w:rFonts w:hint="eastAsia"/>
          <w:strike w:val="0"/>
          <w:dstrike w:val="0"/>
          <w:color w:val="auto"/>
          <w:highlight w:val="none"/>
          <w:u w:val="none" w:color="auto"/>
          <w:shd w:val="clear" w:color="auto" w:fill="auto"/>
          <w:lang w:val="en-US" w:eastAsia="zh-CN"/>
        </w:rPr>
      </w:pPr>
    </w:p>
    <w:p>
      <w:pPr>
        <w:rPr>
          <w:rFonts w:hint="eastAsia"/>
          <w:strike w:val="0"/>
          <w:dstrike w:val="0"/>
          <w:color w:val="auto"/>
          <w:highlight w:val="none"/>
          <w:u w:val="none" w:color="auto"/>
          <w:shd w:val="clear" w:color="auto" w:fill="auto"/>
          <w:lang w:val="en-US" w:eastAsia="zh-CN"/>
        </w:rPr>
      </w:pPr>
    </w:p>
    <w:p>
      <w:pPr>
        <w:rPr>
          <w:rFonts w:hint="eastAsia"/>
          <w:strike w:val="0"/>
          <w:dstrike w:val="0"/>
          <w:color w:val="auto"/>
          <w:highlight w:val="none"/>
          <w:u w:val="none" w:color="auto"/>
          <w:shd w:val="clear" w:color="auto" w:fill="auto"/>
          <w:lang w:val="en-US" w:eastAsia="zh-CN"/>
        </w:rPr>
      </w:pPr>
    </w:p>
    <w:p>
      <w:pPr>
        <w:rPr>
          <w:rFonts w:hint="eastAsia"/>
          <w:strike w:val="0"/>
          <w:dstrike w:val="0"/>
          <w:color w:val="auto"/>
          <w:highlight w:val="none"/>
          <w:u w:val="none" w:color="auto"/>
          <w:shd w:val="clear" w:color="auto" w:fill="auto"/>
          <w:lang w:val="en-US" w:eastAsia="zh-CN"/>
        </w:rPr>
      </w:pPr>
    </w:p>
    <w:p>
      <w:pPr>
        <w:rPr>
          <w:rFonts w:hint="eastAsia"/>
          <w:strike w:val="0"/>
          <w:dstrike w:val="0"/>
          <w:color w:val="auto"/>
          <w:highlight w:val="none"/>
          <w:u w:val="none" w:color="auto"/>
          <w:shd w:val="clear" w:color="auto" w:fill="auto"/>
          <w:lang w:val="en-US" w:eastAsia="zh-CN"/>
        </w:rPr>
      </w:pPr>
    </w:p>
    <w:p>
      <w:pPr>
        <w:rPr>
          <w:rFonts w:hint="eastAsia"/>
          <w:strike w:val="0"/>
          <w:dstrike w:val="0"/>
          <w:color w:val="auto"/>
          <w:highlight w:val="none"/>
          <w:u w:val="none" w:color="auto"/>
          <w:shd w:val="clear" w:color="auto" w:fill="auto"/>
          <w:lang w:val="en-US" w:eastAsia="zh-CN"/>
        </w:rPr>
      </w:pPr>
    </w:p>
    <w:p>
      <w:pPr>
        <w:rPr>
          <w:rFonts w:hint="eastAsia"/>
          <w:strike w:val="0"/>
          <w:dstrike w:val="0"/>
          <w:color w:val="auto"/>
          <w:highlight w:val="none"/>
          <w:u w:val="none" w:color="auto"/>
          <w:shd w:val="clear" w:color="auto" w:fill="auto"/>
          <w:lang w:val="en-US" w:eastAsia="zh-CN"/>
        </w:rPr>
      </w:pPr>
    </w:p>
    <w:p>
      <w:pPr>
        <w:rPr>
          <w:rFonts w:hint="eastAsia"/>
          <w:strike w:val="0"/>
          <w:dstrike w:val="0"/>
          <w:color w:val="auto"/>
          <w:highlight w:val="none"/>
          <w:u w:val="none" w:color="auto"/>
          <w:shd w:val="clear" w:color="auto" w:fill="auto"/>
          <w:lang w:val="en-US" w:eastAsia="zh-CN"/>
        </w:rPr>
      </w:pPr>
    </w:p>
    <w:p>
      <w:pPr>
        <w:rPr>
          <w:rFonts w:hint="eastAsia"/>
          <w:strike w:val="0"/>
          <w:dstrike w:val="0"/>
          <w:color w:val="auto"/>
          <w:highlight w:val="none"/>
          <w:u w:val="none" w:color="auto"/>
          <w:shd w:val="clear" w:color="auto" w:fill="auto"/>
          <w:lang w:val="en-US" w:eastAsia="zh-CN"/>
        </w:rPr>
      </w:pPr>
    </w:p>
    <w:p>
      <w:pPr>
        <w:rPr>
          <w:rFonts w:hint="eastAsia"/>
          <w:strike w:val="0"/>
          <w:dstrike w:val="0"/>
          <w:color w:val="auto"/>
          <w:highlight w:val="none"/>
          <w:u w:val="none" w:color="auto"/>
          <w:shd w:val="clear" w:color="auto" w:fill="auto"/>
          <w:lang w:val="en-US" w:eastAsia="zh-CN"/>
        </w:rPr>
      </w:pPr>
    </w:p>
    <w:p>
      <w:pPr>
        <w:rPr>
          <w:rFonts w:hint="eastAsia"/>
          <w:strike w:val="0"/>
          <w:dstrike w:val="0"/>
          <w:color w:val="auto"/>
          <w:highlight w:val="none"/>
          <w:u w:val="none" w:color="auto"/>
          <w:shd w:val="clear" w:color="auto" w:fill="auto"/>
          <w:lang w:val="en-US" w:eastAsia="zh-CN"/>
        </w:rPr>
      </w:pPr>
    </w:p>
    <w:p>
      <w:pPr>
        <w:rPr>
          <w:rFonts w:hint="eastAsia"/>
          <w:strike w:val="0"/>
          <w:dstrike w:val="0"/>
          <w:color w:val="auto"/>
          <w:highlight w:val="none"/>
          <w:u w:val="none" w:color="auto"/>
          <w:shd w:val="clear" w:color="auto" w:fill="auto"/>
          <w:lang w:val="en-US" w:eastAsia="zh-CN"/>
        </w:rPr>
      </w:pPr>
    </w:p>
    <w:p>
      <w:pPr>
        <w:rPr>
          <w:rFonts w:hint="eastAsia"/>
          <w:strike w:val="0"/>
          <w:dstrike w:val="0"/>
          <w:color w:val="auto"/>
          <w:highlight w:val="none"/>
          <w:u w:val="none" w:color="auto"/>
          <w:shd w:val="clear" w:color="auto" w:fill="auto"/>
          <w:lang w:val="en-US" w:eastAsia="zh-CN"/>
        </w:rPr>
      </w:pPr>
    </w:p>
    <w:p>
      <w:pPr>
        <w:pStyle w:val="2"/>
        <w:keepNext/>
        <w:keepLines/>
        <w:pageBreakBefore w:val="0"/>
        <w:widowControl w:val="0"/>
        <w:numPr>
          <w:ilvl w:val="0"/>
          <w:numId w:val="0"/>
        </w:numPr>
        <w:kinsoku/>
        <w:wordWrap/>
        <w:overflowPunct/>
        <w:topLinePunct w:val="0"/>
        <w:autoSpaceDE/>
        <w:autoSpaceDN/>
        <w:bidi w:val="0"/>
        <w:adjustRightInd/>
        <w:snapToGrid/>
        <w:spacing w:before="0" w:after="0" w:line="600" w:lineRule="exact"/>
        <w:jc w:val="center"/>
        <w:textAlignment w:val="auto"/>
        <w:rPr>
          <w:rFonts w:hint="eastAsia"/>
          <w:strike w:val="0"/>
          <w:dstrike w:val="0"/>
          <w:color w:val="auto"/>
          <w:highlight w:val="none"/>
          <w:u w:val="none" w:color="auto"/>
          <w:shd w:val="clear" w:color="auto" w:fill="auto"/>
          <w:lang w:val="en-US" w:eastAsia="zh-CN"/>
        </w:rPr>
      </w:pPr>
      <w:bookmarkStart w:id="24" w:name="_Toc2019436624"/>
      <w:r>
        <w:rPr>
          <w:rFonts w:hint="eastAsia"/>
          <w:strike w:val="0"/>
          <w:dstrike w:val="0"/>
          <w:color w:val="auto"/>
          <w:highlight w:val="none"/>
          <w:u w:val="none" w:color="auto"/>
          <w:shd w:val="clear" w:color="auto" w:fill="auto"/>
          <w:lang w:val="en-US" w:eastAsia="zh-CN"/>
        </w:rPr>
        <w:t>第一篇 夯实基础、全面发力，开启“一区一城”</w:t>
      </w:r>
      <w:bookmarkEnd w:id="24"/>
      <w:bookmarkStart w:id="25" w:name="_Toc20023"/>
    </w:p>
    <w:p>
      <w:pPr>
        <w:pStyle w:val="2"/>
        <w:keepNext/>
        <w:keepLines/>
        <w:pageBreakBefore w:val="0"/>
        <w:widowControl w:val="0"/>
        <w:numPr>
          <w:ilvl w:val="0"/>
          <w:numId w:val="0"/>
        </w:numPr>
        <w:kinsoku/>
        <w:wordWrap/>
        <w:overflowPunct/>
        <w:topLinePunct w:val="0"/>
        <w:autoSpaceDE/>
        <w:autoSpaceDN/>
        <w:bidi w:val="0"/>
        <w:adjustRightInd/>
        <w:snapToGrid/>
        <w:spacing w:before="0" w:after="0" w:line="600" w:lineRule="exact"/>
        <w:jc w:val="center"/>
        <w:textAlignment w:val="auto"/>
        <w:rPr>
          <w:rFonts w:hint="default"/>
          <w:strike w:val="0"/>
          <w:dstrike w:val="0"/>
          <w:color w:val="auto"/>
          <w:highlight w:val="none"/>
          <w:u w:val="none" w:color="auto"/>
          <w:shd w:val="clear" w:color="auto" w:fill="auto"/>
          <w:lang w:val="en-US" w:eastAsia="zh-CN"/>
        </w:rPr>
      </w:pPr>
      <w:bookmarkStart w:id="26" w:name="_Toc1276486385"/>
      <w:bookmarkStart w:id="27" w:name="_Toc2108421292"/>
      <w:r>
        <w:rPr>
          <w:rFonts w:hint="eastAsia"/>
          <w:strike w:val="0"/>
          <w:dstrike w:val="0"/>
          <w:color w:val="auto"/>
          <w:highlight w:val="none"/>
          <w:u w:val="none" w:color="auto"/>
          <w:shd w:val="clear" w:color="auto" w:fill="auto"/>
          <w:lang w:val="en-US" w:eastAsia="zh-CN"/>
        </w:rPr>
        <w:t>高质量</w:t>
      </w:r>
      <w:bookmarkStart w:id="28" w:name="_Toc7354"/>
      <w:bookmarkStart w:id="29" w:name="_Toc23630"/>
      <w:bookmarkStart w:id="30" w:name="_Toc11661"/>
      <w:bookmarkStart w:id="31" w:name="_Toc5317"/>
      <w:bookmarkStart w:id="32" w:name="_Toc3401"/>
      <w:bookmarkStart w:id="33" w:name="_Toc2001"/>
      <w:bookmarkStart w:id="34" w:name="_Toc3472"/>
      <w:r>
        <w:rPr>
          <w:rFonts w:hint="eastAsia"/>
          <w:strike w:val="0"/>
          <w:dstrike w:val="0"/>
          <w:color w:val="auto"/>
          <w:highlight w:val="none"/>
          <w:u w:val="none" w:color="auto"/>
          <w:shd w:val="clear" w:color="auto" w:fill="auto"/>
          <w:lang w:val="en-US" w:eastAsia="zh-CN"/>
        </w:rPr>
        <w:t>发展新征程</w:t>
      </w:r>
      <w:bookmarkEnd w:id="25"/>
      <w:bookmarkEnd w:id="26"/>
      <w:bookmarkEnd w:id="27"/>
      <w:bookmarkEnd w:id="28"/>
      <w:bookmarkEnd w:id="29"/>
      <w:bookmarkEnd w:id="30"/>
      <w:bookmarkEnd w:id="31"/>
      <w:bookmarkEnd w:id="32"/>
      <w:bookmarkEnd w:id="33"/>
      <w:bookmarkEnd w:id="34"/>
    </w:p>
    <w:p>
      <w:pPr>
        <w:pStyle w:val="3"/>
        <w:keepNext/>
        <w:keepLines/>
        <w:pageBreakBefore w:val="0"/>
        <w:widowControl w:val="0"/>
        <w:kinsoku/>
        <w:wordWrap/>
        <w:overflowPunct/>
        <w:topLinePunct w:val="0"/>
        <w:autoSpaceDE/>
        <w:autoSpaceDN/>
        <w:bidi w:val="0"/>
        <w:adjustRightInd/>
        <w:snapToGrid/>
        <w:spacing w:line="600" w:lineRule="exact"/>
        <w:textAlignment w:val="auto"/>
        <w:rPr>
          <w:rFonts w:hint="default"/>
          <w:strike w:val="0"/>
          <w:dstrike w:val="0"/>
          <w:color w:val="auto"/>
          <w:highlight w:val="none"/>
          <w:u w:val="none" w:color="auto"/>
          <w:shd w:val="clear" w:color="auto" w:fill="auto"/>
          <w:lang w:val="en-US" w:eastAsia="zh-CN"/>
        </w:rPr>
      </w:pPr>
      <w:bookmarkStart w:id="35" w:name="_Toc15773"/>
      <w:bookmarkStart w:id="36" w:name="_Toc18461"/>
      <w:bookmarkStart w:id="37" w:name="_Toc13909"/>
      <w:bookmarkStart w:id="38" w:name="_Toc4413"/>
      <w:bookmarkStart w:id="39" w:name="_Toc4266"/>
      <w:bookmarkStart w:id="40" w:name="_Toc10023"/>
      <w:bookmarkStart w:id="41" w:name="_Toc5081"/>
      <w:bookmarkStart w:id="42" w:name="_Toc29619"/>
      <w:bookmarkStart w:id="43" w:name="_Toc22232"/>
      <w:bookmarkStart w:id="44" w:name="_Toc24334"/>
      <w:bookmarkStart w:id="45" w:name="_Toc31127"/>
      <w:bookmarkStart w:id="46" w:name="_Toc30023"/>
      <w:bookmarkStart w:id="47" w:name="_Toc18291"/>
      <w:bookmarkStart w:id="48" w:name="_Toc28888"/>
      <w:bookmarkStart w:id="49" w:name="_Toc11176"/>
      <w:bookmarkStart w:id="50" w:name="_Toc24706"/>
      <w:bookmarkStart w:id="51" w:name="_Toc756"/>
      <w:bookmarkStart w:id="52" w:name="_Toc19048"/>
      <w:bookmarkStart w:id="53" w:name="_Toc4455"/>
      <w:bookmarkStart w:id="54" w:name="_Toc21192"/>
      <w:bookmarkStart w:id="55" w:name="_Toc18900"/>
      <w:bookmarkStart w:id="56" w:name="_Toc12272"/>
      <w:bookmarkStart w:id="57" w:name="_Toc2629"/>
      <w:bookmarkStart w:id="58" w:name="_Toc1207344938"/>
      <w:r>
        <w:rPr>
          <w:rFonts w:hint="eastAsia"/>
          <w:strike w:val="0"/>
          <w:dstrike w:val="0"/>
          <w:color w:val="auto"/>
          <w:highlight w:val="none"/>
          <w:u w:val="none" w:color="auto"/>
          <w:shd w:val="clear" w:color="auto" w:fill="auto"/>
          <w:lang w:val="en-US" w:eastAsia="zh-CN"/>
        </w:rPr>
        <w:t xml:space="preserve">第一章 </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Fonts w:hint="eastAsia"/>
          <w:strike w:val="0"/>
          <w:dstrike w:val="0"/>
          <w:color w:val="auto"/>
          <w:highlight w:val="none"/>
          <w:u w:val="none" w:color="auto"/>
          <w:shd w:val="clear" w:color="auto" w:fill="auto"/>
          <w:lang w:val="en-US" w:eastAsia="zh-CN"/>
        </w:rPr>
        <w:t>发展基础</w:t>
      </w:r>
      <w:bookmarkEnd w:id="58"/>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十四五”时期，是庄河发展历程中极不平凡的五年。面对错综复杂的国际形势、艰巨繁重的改革发展稳定任务以及世纪疫情的严重冲击，全市上下坚持以习近平新时代中国特色社会主义思想为指导，深入贯彻落实党的二十大和二十届历次全会精神，一体学习贯彻习近平总书记关于东北、辽宁、大连振兴发展的重要讲话和指示批示精神，紧紧围绕辽宁新时代“六地”目标定位、大连“六个建设”战略部署和庄河“一区一城”发展要求，坚定不移贯彻新发展理念，高效统筹发展和安全，有效应对各类风险挑战，攻坚克难、砥砺奋进，高质量完成了“十四五”规划确定的主要目标任务。</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综合实力大幅跃升。</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地区生产总值跨越700亿元台阶，规上工业总产值年均增长7.9%，一般公共预算收入年均增长1.8%，社会消费品零售总额年均增长2.1%，累计完成固定资产投资409亿元。</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特色产业集群成势。</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海上风电等一批重大产业项目加快实施，清洁能源装机容量占比达到60.5%，年发电能力超40亿度。建设现代海洋牧场4.17万亩，新增高标准农田75.2万亩，粮食年产量保持在55万吨以上。专精特新、雏鹰、瞪羚企业不断涌现，获评“辽宁省工业强县（市）”。成立大连市首家建筑业协会，资质内建筑企业达778家。获评东北地区首个中国“文学之乡”和全省首个国家级避暑旅游目的地。</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改革开放深入推进。</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营商环境迭代升级至6.0版，荣获央视“全国营商环境创新县（市）”称号。北黄海经济开发区综合发展水平排名跃进全省前10。北黄海实业集团成为东北地区首家获评“AA+”主体信用等级的县级国企。全市累计盘活国有资产价值超70亿元。外贸进出口总额年均增长5%以上。庄河港外贸吞吐量年均增长8%。</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城乡融合加快发展。</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农村水、电、路等基础设施短板加快补齐，农村自来水普及率达88%，农村地区配网供电可靠率达99.9%，普通公路维修改造937公里，新建村内硬化工程492万平方米。崔桂线等美丽农村路全国闻名，实现美丽宜居村建设全覆盖。</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生态环境明显改善。</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坚持绿色发展理念，全市空气优良天数比例超过93%，水质达标率100%，畜禽粪污综合利用率、农膜回收率和秸秆综合利用率分别稳定在86%、90%和96%，重点建设用地安全利用率保持100%。荣获国家生态文明建设示范区等“国字号”荣誉。</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民生保障有力有效。</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民生支出占财政预算支出80%以上。累计实现城镇新增就业4.1万人，城乡居民人均可支配收入较“十三五”期末分别增长25%和37.6%。义务教育优质均衡发展。城镇职工基本养老保险在职参保人数达到18.3万人，农村居民就医个人支付费用平均下降50%。面向社会新增养老床位1400余张。</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社会治理效能提升。</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坚持党建引领基层治理，矛盾纠纷预防化解能力不断提升，获评“全国信访工作示范县”。常态化开展扫黑除恶，刑事发案逐年下降。各领域安全保持稳定，安全生产隐患动态清零，获评“全国平安渔业示范县”。</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党的建设全面加强。</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政治建设坚定有力，广大党员干部深刻领悟“两个确立”的决定性意义，增强“四个意识”、坚定“四个自信”、做到“两个维护”。全面从严治党向纵深发展，扎实开展党内集中学习教育活动。意识形态工作责任制有效落实，主流思想舆论巩固壮大。党风廉政建设不断深化，涉海涉渔涉矿等重点领域腐败问题有效查处，群众身边不正之风和腐败问题有效整治。民主法治建设稳妥有序推进。</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trike w:val="0"/>
          <w:dstrike w:val="0"/>
          <w:color w:val="auto"/>
          <w:sz w:val="32"/>
          <w:szCs w:val="32"/>
          <w:highlight w:val="none"/>
          <w:u w:val="none" w:color="auto"/>
          <w:shd w:val="clear" w:color="auto" w:fill="auto"/>
          <w:lang w:val="en-US" w:eastAsia="zh-CN"/>
        </w:rPr>
      </w:pPr>
      <w:r>
        <w:rPr>
          <w:rFonts w:hint="eastAsia" w:ascii="方正小标宋简体" w:hAnsi="方正小标宋简体" w:eastAsia="方正小标宋简体" w:cs="方正小标宋简体"/>
          <w:b w:val="0"/>
          <w:bCs w:val="0"/>
          <w:strike w:val="0"/>
          <w:dstrike w:val="0"/>
          <w:color w:val="auto"/>
          <w:sz w:val="32"/>
          <w:szCs w:val="32"/>
          <w:highlight w:val="none"/>
          <w:u w:val="none" w:color="auto"/>
          <w:shd w:val="clear" w:color="auto" w:fill="auto"/>
          <w:lang w:val="en-US" w:eastAsia="zh-CN"/>
        </w:rPr>
        <w:t>表1 “十四五”规划纲要主要指标完成情况表</w:t>
      </w:r>
    </w:p>
    <w:tbl>
      <w:tblPr>
        <w:tblStyle w:val="20"/>
        <w:tblW w:w="0" w:type="auto"/>
        <w:tblInd w:w="0" w:type="dxa"/>
        <w:tblLayout w:type="fixed"/>
        <w:tblCellMar>
          <w:top w:w="0" w:type="dxa"/>
          <w:left w:w="108" w:type="dxa"/>
          <w:bottom w:w="0" w:type="dxa"/>
          <w:right w:w="108" w:type="dxa"/>
        </w:tblCellMar>
      </w:tblPr>
      <w:tblGrid>
        <w:gridCol w:w="1060"/>
        <w:gridCol w:w="3663"/>
        <w:gridCol w:w="2025"/>
        <w:gridCol w:w="1806"/>
        <w:gridCol w:w="846"/>
      </w:tblGrid>
      <w:tr>
        <w:tblPrEx>
          <w:tblCellMar>
            <w:top w:w="0" w:type="dxa"/>
            <w:left w:w="108" w:type="dxa"/>
            <w:bottom w:w="0" w:type="dxa"/>
            <w:right w:w="108" w:type="dxa"/>
          </w:tblCellMar>
        </w:tblPrEx>
        <w:trPr>
          <w:trHeight w:val="454"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黑体" w:hAnsi="黑体" w:eastAsia="黑体"/>
                <w:b/>
                <w:bCs/>
                <w:strike w:val="0"/>
                <w:dstrike w:val="0"/>
                <w:color w:val="auto"/>
                <w:sz w:val="18"/>
                <w:szCs w:val="18"/>
                <w:highlight w:val="none"/>
                <w:u w:val="none" w:color="auto"/>
                <w:shd w:val="clear" w:color="auto" w:fill="auto"/>
              </w:rPr>
            </w:pPr>
            <w:r>
              <w:rPr>
                <w:rFonts w:hint="eastAsia" w:ascii="黑体" w:hAnsi="黑体" w:eastAsia="黑体"/>
                <w:b/>
                <w:bCs/>
                <w:strike w:val="0"/>
                <w:dstrike w:val="0"/>
                <w:color w:val="auto"/>
                <w:sz w:val="18"/>
                <w:szCs w:val="18"/>
                <w:highlight w:val="none"/>
                <w:u w:val="none" w:color="auto"/>
                <w:shd w:val="clear" w:color="auto" w:fill="auto"/>
              </w:rPr>
              <w:t>类别</w:t>
            </w: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spacing w:line="240" w:lineRule="auto"/>
              <w:jc w:val="center"/>
              <w:textAlignment w:val="auto"/>
              <w:rPr>
                <w:rFonts w:ascii="黑体" w:hAnsi="黑体" w:eastAsia="黑体"/>
                <w:b/>
                <w:bCs/>
                <w:strike w:val="0"/>
                <w:dstrike w:val="0"/>
                <w:color w:val="auto"/>
                <w:sz w:val="18"/>
                <w:szCs w:val="18"/>
                <w:highlight w:val="none"/>
                <w:u w:val="none" w:color="auto"/>
                <w:shd w:val="clear" w:color="auto" w:fill="auto"/>
              </w:rPr>
            </w:pPr>
            <w:r>
              <w:rPr>
                <w:rFonts w:hint="eastAsia" w:ascii="黑体" w:hAnsi="黑体" w:eastAsia="黑体"/>
                <w:b/>
                <w:bCs/>
                <w:strike w:val="0"/>
                <w:dstrike w:val="0"/>
                <w:color w:val="auto"/>
                <w:sz w:val="18"/>
                <w:szCs w:val="18"/>
                <w:highlight w:val="none"/>
                <w:u w:val="none" w:color="auto"/>
                <w:shd w:val="clear" w:color="auto" w:fill="auto"/>
              </w:rPr>
              <w:t>指标名称</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黑体" w:hAnsi="黑体" w:eastAsia="黑体"/>
                <w:b/>
                <w:bCs/>
                <w:strike w:val="0"/>
                <w:dstrike w:val="0"/>
                <w:color w:val="auto"/>
                <w:sz w:val="18"/>
                <w:szCs w:val="18"/>
                <w:highlight w:val="none"/>
                <w:u w:val="none" w:color="auto"/>
                <w:shd w:val="clear" w:color="auto" w:fill="auto"/>
                <w:lang w:val="en-US" w:eastAsia="zh-CN"/>
              </w:rPr>
            </w:pPr>
            <w:r>
              <w:rPr>
                <w:rFonts w:hint="eastAsia" w:ascii="黑体" w:hAnsi="黑体" w:eastAsia="黑体"/>
                <w:b/>
                <w:bCs/>
                <w:strike w:val="0"/>
                <w:dstrike w:val="0"/>
                <w:color w:val="auto"/>
                <w:sz w:val="18"/>
                <w:szCs w:val="18"/>
                <w:highlight w:val="none"/>
                <w:u w:val="none" w:color="auto"/>
                <w:shd w:val="clear" w:color="auto" w:fill="auto"/>
                <w:lang w:eastAsia="zh-CN"/>
              </w:rPr>
              <w:t>“</w:t>
            </w:r>
            <w:r>
              <w:rPr>
                <w:rFonts w:hint="eastAsia" w:ascii="黑体" w:hAnsi="黑体" w:eastAsia="黑体"/>
                <w:b/>
                <w:bCs/>
                <w:strike w:val="0"/>
                <w:dstrike w:val="0"/>
                <w:color w:val="auto"/>
                <w:sz w:val="18"/>
                <w:szCs w:val="18"/>
                <w:highlight w:val="none"/>
                <w:u w:val="none" w:color="auto"/>
                <w:shd w:val="clear" w:color="auto" w:fill="auto"/>
                <w:lang w:val="en-US" w:eastAsia="zh-CN"/>
              </w:rPr>
              <w:t>十四五</w:t>
            </w:r>
            <w:r>
              <w:rPr>
                <w:rFonts w:hint="eastAsia" w:ascii="黑体" w:hAnsi="黑体" w:eastAsia="黑体"/>
                <w:b/>
                <w:bCs/>
                <w:strike w:val="0"/>
                <w:dstrike w:val="0"/>
                <w:color w:val="auto"/>
                <w:sz w:val="18"/>
                <w:szCs w:val="18"/>
                <w:highlight w:val="none"/>
                <w:u w:val="none" w:color="auto"/>
                <w:shd w:val="clear" w:color="auto" w:fill="auto"/>
                <w:lang w:eastAsia="zh-CN"/>
              </w:rPr>
              <w:t>”</w:t>
            </w:r>
            <w:r>
              <w:rPr>
                <w:rFonts w:hint="eastAsia" w:ascii="黑体" w:hAnsi="黑体" w:eastAsia="黑体"/>
                <w:b/>
                <w:bCs/>
                <w:strike w:val="0"/>
                <w:dstrike w:val="0"/>
                <w:color w:val="auto"/>
                <w:sz w:val="18"/>
                <w:szCs w:val="18"/>
                <w:highlight w:val="none"/>
                <w:u w:val="none" w:color="auto"/>
                <w:shd w:val="clear" w:color="auto" w:fill="auto"/>
                <w:lang w:val="en-US" w:eastAsia="zh-CN"/>
              </w:rPr>
              <w:t>规划目标</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黑体" w:hAnsi="黑体" w:eastAsia="黑体"/>
                <w:b/>
                <w:bCs/>
                <w:strike w:val="0"/>
                <w:dstrike w:val="0"/>
                <w:color w:val="auto"/>
                <w:sz w:val="18"/>
                <w:szCs w:val="18"/>
                <w:highlight w:val="none"/>
                <w:u w:val="none" w:color="auto"/>
                <w:shd w:val="clear" w:color="auto" w:fill="auto"/>
                <w:lang w:val="en-US" w:eastAsia="zh-CN"/>
              </w:rPr>
            </w:pPr>
            <w:r>
              <w:rPr>
                <w:rFonts w:hint="eastAsia" w:ascii="黑体" w:hAnsi="黑体" w:eastAsia="黑体"/>
                <w:b/>
                <w:bCs/>
                <w:strike w:val="0"/>
                <w:dstrike w:val="0"/>
                <w:color w:val="auto"/>
                <w:sz w:val="18"/>
                <w:szCs w:val="18"/>
                <w:highlight w:val="none"/>
                <w:u w:val="none" w:color="auto"/>
                <w:shd w:val="clear" w:color="auto" w:fill="auto"/>
                <w:lang w:val="en-US" w:eastAsia="zh-CN"/>
              </w:rPr>
              <w:t>预计情况</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黑体" w:hAnsi="黑体" w:eastAsia="黑体"/>
                <w:b/>
                <w:bCs/>
                <w:strike w:val="0"/>
                <w:dstrike w:val="0"/>
                <w:color w:val="auto"/>
                <w:sz w:val="18"/>
                <w:szCs w:val="18"/>
                <w:highlight w:val="none"/>
                <w:u w:val="none" w:color="auto"/>
                <w:shd w:val="clear" w:color="auto" w:fill="auto"/>
              </w:rPr>
            </w:pPr>
            <w:r>
              <w:rPr>
                <w:rFonts w:hint="eastAsia" w:ascii="黑体" w:hAnsi="黑体" w:eastAsia="黑体"/>
                <w:b/>
                <w:bCs/>
                <w:strike w:val="0"/>
                <w:dstrike w:val="0"/>
                <w:color w:val="auto"/>
                <w:sz w:val="18"/>
                <w:szCs w:val="18"/>
                <w:highlight w:val="none"/>
                <w:u w:val="none" w:color="auto"/>
                <w:shd w:val="clear" w:color="auto" w:fill="auto"/>
              </w:rPr>
              <w:t>属性</w:t>
            </w:r>
          </w:p>
        </w:tc>
      </w:tr>
      <w:tr>
        <w:tblPrEx>
          <w:tblCellMar>
            <w:top w:w="0" w:type="dxa"/>
            <w:left w:w="108" w:type="dxa"/>
            <w:bottom w:w="0" w:type="dxa"/>
            <w:right w:w="108" w:type="dxa"/>
          </w:tblCellMar>
        </w:tblPrEx>
        <w:trPr>
          <w:trHeight w:val="454" w:hRule="atLeast"/>
        </w:trPr>
        <w:tc>
          <w:tcPr>
            <w:tcW w:w="10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b/>
                <w:bCs/>
                <w:strike w:val="0"/>
                <w:dstrike w:val="0"/>
                <w:color w:val="auto"/>
                <w:sz w:val="18"/>
                <w:szCs w:val="18"/>
                <w:highlight w:val="none"/>
                <w:u w:val="none" w:color="auto"/>
                <w:shd w:val="clear" w:color="auto" w:fill="auto"/>
              </w:rPr>
            </w:pPr>
            <w:r>
              <w:rPr>
                <w:rFonts w:hint="eastAsia" w:ascii="仿宋_GB2312" w:eastAsia="仿宋_GB2312"/>
                <w:b/>
                <w:bCs/>
                <w:strike w:val="0"/>
                <w:dstrike w:val="0"/>
                <w:color w:val="auto"/>
                <w:sz w:val="18"/>
                <w:szCs w:val="18"/>
                <w:highlight w:val="none"/>
                <w:u w:val="none" w:color="auto"/>
                <w:shd w:val="clear" w:color="auto" w:fill="auto"/>
              </w:rPr>
              <w:t>经济发展</w:t>
            </w: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1.地区生产总值增长（%）</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6.5左右</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完成</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预期性</w:t>
            </w:r>
          </w:p>
        </w:tc>
      </w:tr>
      <w:tr>
        <w:tblPrEx>
          <w:tblCellMar>
            <w:top w:w="0" w:type="dxa"/>
            <w:left w:w="108" w:type="dxa"/>
            <w:bottom w:w="0" w:type="dxa"/>
            <w:right w:w="108" w:type="dxa"/>
          </w:tblCellMar>
        </w:tblPrEx>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600" w:lineRule="exact"/>
              <w:jc w:val="center"/>
              <w:textAlignment w:val="auto"/>
              <w:rPr>
                <w:rFonts w:ascii="仿宋_GB2312" w:eastAsia="仿宋_GB2312"/>
                <w:b/>
                <w:bCs/>
                <w:strike w:val="0"/>
                <w:dstrike w:val="0"/>
                <w:color w:val="auto"/>
                <w:sz w:val="18"/>
                <w:szCs w:val="18"/>
                <w:highlight w:val="none"/>
                <w:u w:val="none" w:color="auto"/>
                <w:shd w:val="clear" w:color="auto" w:fill="auto"/>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2.固定资产投资增长（%）</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6左右</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未完成</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预期性</w:t>
            </w:r>
          </w:p>
        </w:tc>
      </w:tr>
      <w:tr>
        <w:tblPrEx>
          <w:tblCellMar>
            <w:top w:w="0" w:type="dxa"/>
            <w:left w:w="108" w:type="dxa"/>
            <w:bottom w:w="0" w:type="dxa"/>
            <w:right w:w="108" w:type="dxa"/>
          </w:tblCellMar>
        </w:tblPrEx>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600" w:lineRule="exact"/>
              <w:jc w:val="center"/>
              <w:textAlignment w:val="auto"/>
              <w:rPr>
                <w:rFonts w:ascii="仿宋_GB2312" w:eastAsia="仿宋_GB2312"/>
                <w:b/>
                <w:bCs/>
                <w:strike w:val="0"/>
                <w:dstrike w:val="0"/>
                <w:color w:val="auto"/>
                <w:sz w:val="18"/>
                <w:szCs w:val="18"/>
                <w:highlight w:val="none"/>
                <w:u w:val="none" w:color="auto"/>
                <w:shd w:val="clear" w:color="auto" w:fill="auto"/>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3.常住人口城镇化率（%）</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lang w:eastAsia="zh-CN"/>
              </w:rPr>
              <w:t>&gt;</w:t>
            </w:r>
            <w:r>
              <w:rPr>
                <w:rFonts w:hint="eastAsia" w:ascii="仿宋_GB2312" w:eastAsia="仿宋_GB2312"/>
                <w:strike w:val="0"/>
                <w:dstrike w:val="0"/>
                <w:color w:val="auto"/>
                <w:sz w:val="18"/>
                <w:szCs w:val="18"/>
                <w:highlight w:val="none"/>
                <w:u w:val="none" w:color="auto"/>
                <w:shd w:val="clear" w:color="auto" w:fill="auto"/>
              </w:rPr>
              <w:t>55</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完成</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预期性</w:t>
            </w:r>
          </w:p>
        </w:tc>
      </w:tr>
      <w:tr>
        <w:tblPrEx>
          <w:tblCellMar>
            <w:top w:w="0" w:type="dxa"/>
            <w:left w:w="108" w:type="dxa"/>
            <w:bottom w:w="0" w:type="dxa"/>
            <w:right w:w="108" w:type="dxa"/>
          </w:tblCellMar>
        </w:tblPrEx>
        <w:trPr>
          <w:trHeight w:val="454" w:hRule="atLeast"/>
        </w:trPr>
        <w:tc>
          <w:tcPr>
            <w:tcW w:w="10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b/>
                <w:bCs/>
                <w:strike w:val="0"/>
                <w:dstrike w:val="0"/>
                <w:color w:val="auto"/>
                <w:sz w:val="18"/>
                <w:szCs w:val="18"/>
                <w:highlight w:val="none"/>
                <w:u w:val="none" w:color="auto"/>
                <w:shd w:val="clear" w:color="auto" w:fill="auto"/>
              </w:rPr>
            </w:pPr>
            <w:r>
              <w:rPr>
                <w:rFonts w:hint="eastAsia" w:ascii="仿宋_GB2312" w:eastAsia="仿宋_GB2312"/>
                <w:b/>
                <w:bCs/>
                <w:strike w:val="0"/>
                <w:dstrike w:val="0"/>
                <w:color w:val="auto"/>
                <w:sz w:val="18"/>
                <w:szCs w:val="18"/>
                <w:highlight w:val="none"/>
                <w:u w:val="none" w:color="auto"/>
                <w:shd w:val="clear" w:color="auto" w:fill="auto"/>
              </w:rPr>
              <w:t>创新驱动</w:t>
            </w: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4.研发经费投入增长（%）</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hint="eastAsia"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eastAsia="zh-CN"/>
              </w:rPr>
              <w:t>&gt;</w:t>
            </w:r>
            <w:r>
              <w:rPr>
                <w:rFonts w:hint="eastAsia" w:ascii="仿宋_GB2312" w:eastAsia="仿宋_GB2312"/>
                <w:strike w:val="0"/>
                <w:dstrike w:val="0"/>
                <w:color w:val="auto"/>
                <w:sz w:val="18"/>
                <w:szCs w:val="18"/>
                <w:highlight w:val="none"/>
                <w:u w:val="none" w:color="auto"/>
                <w:shd w:val="clear" w:color="auto" w:fill="auto"/>
              </w:rPr>
              <w:t>8</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完成</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预期性</w:t>
            </w:r>
          </w:p>
        </w:tc>
      </w:tr>
      <w:tr>
        <w:tblPrEx>
          <w:tblCellMar>
            <w:top w:w="0" w:type="dxa"/>
            <w:left w:w="108" w:type="dxa"/>
            <w:bottom w:w="0" w:type="dxa"/>
            <w:right w:w="108" w:type="dxa"/>
          </w:tblCellMar>
        </w:tblPrEx>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600" w:lineRule="exact"/>
              <w:jc w:val="center"/>
              <w:textAlignment w:val="auto"/>
              <w:rPr>
                <w:rFonts w:ascii="仿宋_GB2312" w:eastAsia="仿宋_GB2312"/>
                <w:b/>
                <w:bCs/>
                <w:strike w:val="0"/>
                <w:dstrike w:val="0"/>
                <w:color w:val="auto"/>
                <w:sz w:val="18"/>
                <w:szCs w:val="18"/>
                <w:highlight w:val="none"/>
                <w:u w:val="none" w:color="auto"/>
                <w:shd w:val="clear" w:color="auto" w:fill="auto"/>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5.高新技术产业产值增长（%）</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lang w:eastAsia="zh-CN"/>
              </w:rPr>
              <w:t>&gt;</w:t>
            </w:r>
            <w:r>
              <w:rPr>
                <w:rFonts w:hint="eastAsia" w:ascii="仿宋_GB2312" w:eastAsia="仿宋_GB2312"/>
                <w:strike w:val="0"/>
                <w:dstrike w:val="0"/>
                <w:color w:val="auto"/>
                <w:sz w:val="18"/>
                <w:szCs w:val="18"/>
                <w:highlight w:val="none"/>
                <w:u w:val="none" w:color="auto"/>
                <w:shd w:val="clear" w:color="auto" w:fill="auto"/>
              </w:rPr>
              <w:t>10</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lang w:val="en-US" w:eastAsia="zh-CN"/>
              </w:rPr>
              <w:t>完成</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预期性</w:t>
            </w:r>
          </w:p>
        </w:tc>
      </w:tr>
      <w:tr>
        <w:tblPrEx>
          <w:tblCellMar>
            <w:top w:w="0" w:type="dxa"/>
            <w:left w:w="108" w:type="dxa"/>
            <w:bottom w:w="0" w:type="dxa"/>
            <w:right w:w="108" w:type="dxa"/>
          </w:tblCellMar>
        </w:tblPrEx>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600" w:lineRule="exact"/>
              <w:jc w:val="center"/>
              <w:textAlignment w:val="auto"/>
              <w:rPr>
                <w:rFonts w:ascii="仿宋_GB2312" w:eastAsia="仿宋_GB2312"/>
                <w:b/>
                <w:bCs/>
                <w:strike w:val="0"/>
                <w:dstrike w:val="0"/>
                <w:color w:val="auto"/>
                <w:sz w:val="18"/>
                <w:szCs w:val="18"/>
                <w:highlight w:val="none"/>
                <w:u w:val="none" w:color="auto"/>
                <w:shd w:val="clear" w:color="auto" w:fill="auto"/>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6.数字经济核心产业增加值占地区生产总值比重（%）</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同上级计划</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大连市级指标</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预期性</w:t>
            </w:r>
          </w:p>
        </w:tc>
      </w:tr>
      <w:tr>
        <w:tblPrEx>
          <w:tblCellMar>
            <w:top w:w="0" w:type="dxa"/>
            <w:left w:w="108" w:type="dxa"/>
            <w:bottom w:w="0" w:type="dxa"/>
            <w:right w:w="108" w:type="dxa"/>
          </w:tblCellMar>
        </w:tblPrEx>
        <w:trPr>
          <w:trHeight w:val="454" w:hRule="atLeast"/>
        </w:trPr>
        <w:tc>
          <w:tcPr>
            <w:tcW w:w="10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Style w:val="5"/>
              <w:pageBreakBefore w:val="0"/>
              <w:widowControl w:val="0"/>
              <w:kinsoku/>
              <w:wordWrap/>
              <w:overflowPunct/>
              <w:topLinePunct w:val="0"/>
              <w:autoSpaceDE/>
              <w:autoSpaceDN/>
              <w:bidi w:val="0"/>
              <w:spacing w:line="600" w:lineRule="exact"/>
              <w:ind w:left="0" w:leftChars="0" w:firstLine="0" w:firstLineChars="0"/>
              <w:jc w:val="center"/>
              <w:textAlignment w:val="auto"/>
              <w:rPr>
                <w:b/>
                <w:bCs/>
                <w:strike w:val="0"/>
                <w:dstrike w:val="0"/>
                <w:color w:val="auto"/>
                <w:sz w:val="18"/>
                <w:szCs w:val="21"/>
                <w:highlight w:val="none"/>
                <w:u w:val="none" w:color="auto"/>
                <w:shd w:val="clear" w:color="auto" w:fill="auto"/>
              </w:rPr>
            </w:pPr>
          </w:p>
          <w:p>
            <w:pPr>
              <w:pageBreakBefore w:val="0"/>
              <w:widowControl w:val="0"/>
              <w:kinsoku/>
              <w:wordWrap/>
              <w:overflowPunct/>
              <w:topLinePunct w:val="0"/>
              <w:autoSpaceDE/>
              <w:autoSpaceDN/>
              <w:bidi w:val="0"/>
              <w:spacing w:line="240" w:lineRule="auto"/>
              <w:ind w:firstLine="0" w:firstLineChars="0"/>
              <w:jc w:val="center"/>
              <w:textAlignment w:val="auto"/>
              <w:rPr>
                <w:b/>
                <w:bCs/>
                <w:strike w:val="0"/>
                <w:dstrike w:val="0"/>
                <w:color w:val="auto"/>
                <w:sz w:val="18"/>
                <w:szCs w:val="21"/>
                <w:highlight w:val="none"/>
                <w:u w:val="none" w:color="auto"/>
                <w:shd w:val="clear" w:color="auto" w:fill="auto"/>
              </w:rPr>
            </w:pPr>
            <w:r>
              <w:rPr>
                <w:rFonts w:hint="eastAsia" w:ascii="仿宋_GB2312" w:eastAsia="仿宋_GB2312"/>
                <w:b/>
                <w:bCs/>
                <w:strike w:val="0"/>
                <w:dstrike w:val="0"/>
                <w:color w:val="auto"/>
                <w:sz w:val="18"/>
                <w:szCs w:val="18"/>
                <w:highlight w:val="none"/>
                <w:u w:val="none" w:color="auto"/>
                <w:shd w:val="clear" w:color="auto" w:fill="auto"/>
              </w:rPr>
              <w:t>民生福祉</w:t>
            </w:r>
          </w:p>
          <w:p>
            <w:pPr>
              <w:pStyle w:val="5"/>
              <w:pageBreakBefore w:val="0"/>
              <w:widowControl w:val="0"/>
              <w:kinsoku/>
              <w:wordWrap/>
              <w:overflowPunct/>
              <w:topLinePunct w:val="0"/>
              <w:autoSpaceDE/>
              <w:autoSpaceDN/>
              <w:bidi w:val="0"/>
              <w:spacing w:line="600" w:lineRule="exact"/>
              <w:ind w:firstLine="480"/>
              <w:jc w:val="center"/>
              <w:textAlignment w:val="auto"/>
              <w:rPr>
                <w:b/>
                <w:bCs/>
                <w:strike w:val="0"/>
                <w:dstrike w:val="0"/>
                <w:color w:val="auto"/>
                <w:sz w:val="18"/>
                <w:szCs w:val="21"/>
                <w:highlight w:val="none"/>
                <w:u w:val="none" w:color="auto"/>
                <w:shd w:val="clear" w:color="auto" w:fill="auto"/>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7.1.农村居民人均可支配收入增长（%）</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both"/>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与经济增长基本同步</w:t>
            </w:r>
          </w:p>
        </w:tc>
        <w:tc>
          <w:tcPr>
            <w:tcW w:w="180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spacing w:line="240" w:lineRule="auto"/>
              <w:jc w:val="center"/>
              <w:textAlignment w:val="auto"/>
              <w:rPr>
                <w:rFonts w:hint="eastAsia"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完成</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预期性</w:t>
            </w:r>
          </w:p>
        </w:tc>
      </w:tr>
      <w:tr>
        <w:tblPrEx>
          <w:tblCellMar>
            <w:top w:w="0" w:type="dxa"/>
            <w:left w:w="108" w:type="dxa"/>
            <w:bottom w:w="0" w:type="dxa"/>
            <w:right w:w="108" w:type="dxa"/>
          </w:tblCellMar>
        </w:tblPrEx>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600" w:lineRule="exact"/>
              <w:jc w:val="center"/>
              <w:textAlignment w:val="auto"/>
              <w:rPr>
                <w:rFonts w:ascii="仿宋_GB2312" w:eastAsia="仿宋_GB2312"/>
                <w:b/>
                <w:bCs/>
                <w:strike w:val="0"/>
                <w:dstrike w:val="0"/>
                <w:color w:val="auto"/>
                <w:sz w:val="18"/>
                <w:szCs w:val="18"/>
                <w:highlight w:val="none"/>
                <w:u w:val="none" w:color="auto"/>
                <w:shd w:val="clear" w:color="auto" w:fill="auto"/>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7.2.城镇居民人均可支配收入增长（%）</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both"/>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与经济增长基本同步</w:t>
            </w:r>
          </w:p>
        </w:tc>
        <w:tc>
          <w:tcPr>
            <w:tcW w:w="1806"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lang w:val="en-US" w:eastAsia="zh-CN"/>
              </w:rPr>
              <w:t>完成</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预期性</w:t>
            </w:r>
          </w:p>
        </w:tc>
      </w:tr>
      <w:tr>
        <w:tblPrEx>
          <w:tblCellMar>
            <w:top w:w="0" w:type="dxa"/>
            <w:left w:w="108" w:type="dxa"/>
            <w:bottom w:w="0" w:type="dxa"/>
            <w:right w:w="108" w:type="dxa"/>
          </w:tblCellMar>
        </w:tblPrEx>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600" w:lineRule="exact"/>
              <w:jc w:val="center"/>
              <w:textAlignment w:val="auto"/>
              <w:rPr>
                <w:rFonts w:ascii="仿宋_GB2312" w:eastAsia="仿宋_GB2312"/>
                <w:b/>
                <w:bCs/>
                <w:strike w:val="0"/>
                <w:dstrike w:val="0"/>
                <w:color w:val="auto"/>
                <w:sz w:val="18"/>
                <w:szCs w:val="18"/>
                <w:highlight w:val="none"/>
                <w:u w:val="none" w:color="auto"/>
                <w:shd w:val="clear" w:color="auto" w:fill="auto"/>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8.城镇登记失业率（%）</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lang w:eastAsia="zh-CN"/>
              </w:rPr>
              <w:t>&lt;</w:t>
            </w:r>
            <w:r>
              <w:rPr>
                <w:rFonts w:hint="eastAsia" w:ascii="仿宋_GB2312" w:eastAsia="仿宋_GB2312"/>
                <w:strike w:val="0"/>
                <w:dstrike w:val="0"/>
                <w:color w:val="auto"/>
                <w:sz w:val="18"/>
                <w:szCs w:val="18"/>
                <w:highlight w:val="none"/>
                <w:u w:val="none" w:color="auto"/>
                <w:shd w:val="clear" w:color="auto" w:fill="auto"/>
              </w:rPr>
              <w:t>3</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不再统计</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预期性</w:t>
            </w:r>
          </w:p>
        </w:tc>
      </w:tr>
      <w:tr>
        <w:tblPrEx>
          <w:tblCellMar>
            <w:top w:w="0" w:type="dxa"/>
            <w:left w:w="108" w:type="dxa"/>
            <w:bottom w:w="0" w:type="dxa"/>
            <w:right w:w="108" w:type="dxa"/>
          </w:tblCellMar>
        </w:tblPrEx>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600" w:lineRule="exact"/>
              <w:jc w:val="center"/>
              <w:textAlignment w:val="auto"/>
              <w:rPr>
                <w:rFonts w:ascii="仿宋_GB2312" w:eastAsia="仿宋_GB2312"/>
                <w:b/>
                <w:bCs/>
                <w:strike w:val="0"/>
                <w:dstrike w:val="0"/>
                <w:color w:val="auto"/>
                <w:sz w:val="18"/>
                <w:szCs w:val="18"/>
                <w:highlight w:val="none"/>
                <w:u w:val="none" w:color="auto"/>
                <w:shd w:val="clear" w:color="auto" w:fill="auto"/>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9.新增劳动年龄人口平均受教育年限（年）</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15</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大连市级指标</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约束性</w:t>
            </w:r>
          </w:p>
        </w:tc>
      </w:tr>
      <w:tr>
        <w:tblPrEx>
          <w:tblCellMar>
            <w:top w:w="0" w:type="dxa"/>
            <w:left w:w="108" w:type="dxa"/>
            <w:bottom w:w="0" w:type="dxa"/>
            <w:right w:w="108" w:type="dxa"/>
          </w:tblCellMar>
        </w:tblPrEx>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600" w:lineRule="exact"/>
              <w:jc w:val="center"/>
              <w:textAlignment w:val="auto"/>
              <w:rPr>
                <w:rFonts w:ascii="仿宋_GB2312" w:eastAsia="仿宋_GB2312"/>
                <w:b/>
                <w:bCs/>
                <w:strike w:val="0"/>
                <w:dstrike w:val="0"/>
                <w:color w:val="auto"/>
                <w:sz w:val="18"/>
                <w:szCs w:val="18"/>
                <w:highlight w:val="none"/>
                <w:u w:val="none" w:color="auto"/>
                <w:shd w:val="clear" w:color="auto" w:fill="auto"/>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10.人均预期寿命（岁）</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82.1</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i w:val="0"/>
                <w:iCs w:val="0"/>
                <w:strike w:val="0"/>
                <w:dstrike w:val="0"/>
                <w:color w:val="auto"/>
                <w:sz w:val="18"/>
                <w:szCs w:val="18"/>
                <w:highlight w:val="none"/>
                <w:u w:val="none" w:color="auto"/>
                <w:shd w:val="clear" w:color="auto" w:fill="auto"/>
                <w:lang w:val="en-US" w:eastAsia="zh-CN"/>
              </w:rPr>
              <w:t>81.9</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预期性</w:t>
            </w:r>
          </w:p>
        </w:tc>
      </w:tr>
      <w:tr>
        <w:tblPrEx>
          <w:tblCellMar>
            <w:top w:w="0" w:type="dxa"/>
            <w:left w:w="108" w:type="dxa"/>
            <w:bottom w:w="0" w:type="dxa"/>
            <w:right w:w="108" w:type="dxa"/>
          </w:tblCellMar>
        </w:tblPrEx>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600" w:lineRule="exact"/>
              <w:jc w:val="center"/>
              <w:textAlignment w:val="auto"/>
              <w:rPr>
                <w:rFonts w:ascii="仿宋_GB2312" w:eastAsia="仿宋_GB2312"/>
                <w:b/>
                <w:bCs/>
                <w:strike w:val="0"/>
                <w:dstrike w:val="0"/>
                <w:color w:val="auto"/>
                <w:sz w:val="18"/>
                <w:szCs w:val="18"/>
                <w:highlight w:val="none"/>
                <w:u w:val="none" w:color="auto"/>
                <w:shd w:val="clear" w:color="auto" w:fill="auto"/>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11.每千人口拥有执业（助理）医师数（名）</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3.2</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3.49</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预期性</w:t>
            </w:r>
          </w:p>
        </w:tc>
      </w:tr>
      <w:tr>
        <w:tblPrEx>
          <w:tblCellMar>
            <w:top w:w="0" w:type="dxa"/>
            <w:left w:w="108" w:type="dxa"/>
            <w:bottom w:w="0" w:type="dxa"/>
            <w:right w:w="108" w:type="dxa"/>
          </w:tblCellMar>
        </w:tblPrEx>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600" w:lineRule="exact"/>
              <w:jc w:val="center"/>
              <w:textAlignment w:val="auto"/>
              <w:rPr>
                <w:rFonts w:ascii="仿宋_GB2312" w:eastAsia="仿宋_GB2312"/>
                <w:b/>
                <w:bCs/>
                <w:strike w:val="0"/>
                <w:dstrike w:val="0"/>
                <w:color w:val="auto"/>
                <w:sz w:val="18"/>
                <w:szCs w:val="18"/>
                <w:highlight w:val="none"/>
                <w:u w:val="none" w:color="auto"/>
                <w:shd w:val="clear" w:color="auto" w:fill="auto"/>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12.城镇职工基本养老保险参保人数（万人）</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13.56</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18.5</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预期性</w:t>
            </w:r>
          </w:p>
        </w:tc>
      </w:tr>
      <w:tr>
        <w:tblPrEx>
          <w:tblCellMar>
            <w:top w:w="0" w:type="dxa"/>
            <w:left w:w="108" w:type="dxa"/>
            <w:bottom w:w="0" w:type="dxa"/>
            <w:right w:w="108" w:type="dxa"/>
          </w:tblCellMar>
        </w:tblPrEx>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600" w:lineRule="exact"/>
              <w:jc w:val="center"/>
              <w:textAlignment w:val="auto"/>
              <w:rPr>
                <w:rFonts w:ascii="仿宋_GB2312" w:eastAsia="仿宋_GB2312"/>
                <w:b/>
                <w:bCs/>
                <w:strike w:val="0"/>
                <w:dstrike w:val="0"/>
                <w:color w:val="auto"/>
                <w:sz w:val="18"/>
                <w:szCs w:val="18"/>
                <w:highlight w:val="none"/>
                <w:u w:val="none" w:color="auto"/>
                <w:shd w:val="clear" w:color="auto" w:fill="auto"/>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13.每千人口拥有3岁以下婴幼儿托位数（个）</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4</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hint="eastAsia"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4</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预期性</w:t>
            </w:r>
          </w:p>
        </w:tc>
      </w:tr>
      <w:tr>
        <w:tblPrEx>
          <w:tblCellMar>
            <w:top w:w="0" w:type="dxa"/>
            <w:left w:w="108" w:type="dxa"/>
            <w:bottom w:w="0" w:type="dxa"/>
            <w:right w:w="108" w:type="dxa"/>
          </w:tblCellMar>
        </w:tblPrEx>
        <w:trPr>
          <w:trHeight w:val="454" w:hRule="atLeast"/>
        </w:trPr>
        <w:tc>
          <w:tcPr>
            <w:tcW w:w="10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b/>
                <w:bCs/>
                <w:strike w:val="0"/>
                <w:dstrike w:val="0"/>
                <w:color w:val="auto"/>
                <w:sz w:val="18"/>
                <w:szCs w:val="18"/>
                <w:highlight w:val="none"/>
                <w:u w:val="none" w:color="auto"/>
                <w:shd w:val="clear" w:color="auto" w:fill="auto"/>
              </w:rPr>
            </w:pPr>
            <w:r>
              <w:rPr>
                <w:rFonts w:hint="eastAsia" w:ascii="仿宋_GB2312" w:eastAsia="仿宋_GB2312"/>
                <w:b/>
                <w:bCs/>
                <w:strike w:val="0"/>
                <w:dstrike w:val="0"/>
                <w:color w:val="auto"/>
                <w:sz w:val="18"/>
                <w:szCs w:val="18"/>
                <w:highlight w:val="none"/>
                <w:u w:val="none" w:color="auto"/>
                <w:shd w:val="clear" w:color="auto" w:fill="auto"/>
              </w:rPr>
              <w:t>绿色生态</w:t>
            </w: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14.单位地区生产总值能源消耗降低（%）</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[13.5]</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完成上级考核任务</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约束性</w:t>
            </w:r>
          </w:p>
        </w:tc>
      </w:tr>
      <w:tr>
        <w:tblPrEx>
          <w:tblCellMar>
            <w:top w:w="0" w:type="dxa"/>
            <w:left w:w="108" w:type="dxa"/>
            <w:bottom w:w="0" w:type="dxa"/>
            <w:right w:w="108" w:type="dxa"/>
          </w:tblCellMar>
        </w:tblPrEx>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600" w:lineRule="exact"/>
              <w:jc w:val="center"/>
              <w:textAlignment w:val="auto"/>
              <w:rPr>
                <w:rFonts w:ascii="仿宋_GB2312" w:eastAsia="仿宋_GB2312"/>
                <w:b/>
                <w:bCs/>
                <w:strike w:val="0"/>
                <w:dstrike w:val="0"/>
                <w:color w:val="auto"/>
                <w:sz w:val="18"/>
                <w:szCs w:val="18"/>
                <w:highlight w:val="none"/>
                <w:u w:val="none" w:color="auto"/>
                <w:shd w:val="clear" w:color="auto" w:fill="auto"/>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15.单位地区生产总值二氧化碳排放降低（%）</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[18]</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hint="eastAsia"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完成</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约束性</w:t>
            </w:r>
          </w:p>
        </w:tc>
      </w:tr>
      <w:tr>
        <w:tblPrEx>
          <w:tblCellMar>
            <w:top w:w="0" w:type="dxa"/>
            <w:left w:w="108" w:type="dxa"/>
            <w:bottom w:w="0" w:type="dxa"/>
            <w:right w:w="108" w:type="dxa"/>
          </w:tblCellMar>
        </w:tblPrEx>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600" w:lineRule="exact"/>
              <w:jc w:val="center"/>
              <w:textAlignment w:val="auto"/>
              <w:rPr>
                <w:rFonts w:ascii="仿宋_GB2312" w:eastAsia="仿宋_GB2312"/>
                <w:b/>
                <w:bCs/>
                <w:strike w:val="0"/>
                <w:dstrike w:val="0"/>
                <w:color w:val="auto"/>
                <w:sz w:val="18"/>
                <w:szCs w:val="18"/>
                <w:highlight w:val="none"/>
                <w:u w:val="none" w:color="auto"/>
                <w:shd w:val="clear" w:color="auto" w:fill="auto"/>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16.地表水达到或好于</w:t>
            </w:r>
            <w:r>
              <w:rPr>
                <w:rFonts w:hint="eastAsia" w:ascii="仿宋_GB2312" w:hAnsi="宋体" w:eastAsia="仿宋_GB2312" w:cs="宋体"/>
                <w:strike w:val="0"/>
                <w:dstrike w:val="0"/>
                <w:color w:val="auto"/>
                <w:sz w:val="18"/>
                <w:szCs w:val="18"/>
                <w:highlight w:val="none"/>
                <w:u w:val="none" w:color="auto"/>
                <w:shd w:val="clear" w:color="auto" w:fill="auto"/>
              </w:rPr>
              <w:t>Ⅲ</w:t>
            </w:r>
            <w:r>
              <w:rPr>
                <w:rFonts w:hint="eastAsia" w:ascii="仿宋_GB2312" w:eastAsia="仿宋_GB2312"/>
                <w:strike w:val="0"/>
                <w:dstrike w:val="0"/>
                <w:color w:val="auto"/>
                <w:sz w:val="18"/>
                <w:szCs w:val="18"/>
                <w:highlight w:val="none"/>
                <w:u w:val="none" w:color="auto"/>
                <w:shd w:val="clear" w:color="auto" w:fill="auto"/>
              </w:rPr>
              <w:t>类水体比例（%）</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92</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100</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约束性</w:t>
            </w:r>
          </w:p>
        </w:tc>
      </w:tr>
      <w:tr>
        <w:tblPrEx>
          <w:tblCellMar>
            <w:top w:w="0" w:type="dxa"/>
            <w:left w:w="108" w:type="dxa"/>
            <w:bottom w:w="0" w:type="dxa"/>
            <w:right w:w="108" w:type="dxa"/>
          </w:tblCellMar>
        </w:tblPrEx>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600" w:lineRule="exact"/>
              <w:jc w:val="center"/>
              <w:textAlignment w:val="auto"/>
              <w:rPr>
                <w:rFonts w:ascii="仿宋_GB2312" w:eastAsia="仿宋_GB2312"/>
                <w:b/>
                <w:bCs/>
                <w:strike w:val="0"/>
                <w:dstrike w:val="0"/>
                <w:color w:val="auto"/>
                <w:sz w:val="18"/>
                <w:szCs w:val="18"/>
                <w:highlight w:val="none"/>
                <w:u w:val="none" w:color="auto"/>
                <w:shd w:val="clear" w:color="auto" w:fill="auto"/>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17.森林覆盖率（%）</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45</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45</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约束性</w:t>
            </w:r>
          </w:p>
        </w:tc>
      </w:tr>
      <w:tr>
        <w:tblPrEx>
          <w:tblCellMar>
            <w:top w:w="0" w:type="dxa"/>
            <w:left w:w="108" w:type="dxa"/>
            <w:bottom w:w="0" w:type="dxa"/>
            <w:right w:w="108" w:type="dxa"/>
          </w:tblCellMar>
        </w:tblPrEx>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600" w:lineRule="exact"/>
              <w:jc w:val="center"/>
              <w:textAlignment w:val="auto"/>
              <w:rPr>
                <w:rFonts w:ascii="仿宋_GB2312" w:eastAsia="仿宋_GB2312"/>
                <w:b/>
                <w:bCs/>
                <w:strike w:val="0"/>
                <w:dstrike w:val="0"/>
                <w:color w:val="auto"/>
                <w:sz w:val="18"/>
                <w:szCs w:val="18"/>
                <w:highlight w:val="none"/>
                <w:u w:val="none" w:color="auto"/>
                <w:shd w:val="clear" w:color="auto" w:fill="auto"/>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18.空气质量优良天数比率（%）</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90</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93以上</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约束性</w:t>
            </w:r>
          </w:p>
        </w:tc>
      </w:tr>
      <w:tr>
        <w:tblPrEx>
          <w:tblCellMar>
            <w:top w:w="0" w:type="dxa"/>
            <w:left w:w="108" w:type="dxa"/>
            <w:bottom w:w="0" w:type="dxa"/>
            <w:right w:w="108" w:type="dxa"/>
          </w:tblCellMar>
        </w:tblPrEx>
        <w:trPr>
          <w:trHeight w:val="454" w:hRule="atLeast"/>
        </w:trPr>
        <w:tc>
          <w:tcPr>
            <w:tcW w:w="10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b/>
                <w:bCs/>
                <w:strike w:val="0"/>
                <w:dstrike w:val="0"/>
                <w:color w:val="auto"/>
                <w:sz w:val="18"/>
                <w:szCs w:val="18"/>
                <w:highlight w:val="none"/>
                <w:u w:val="none" w:color="auto"/>
                <w:shd w:val="clear" w:color="auto" w:fill="auto"/>
              </w:rPr>
            </w:pPr>
            <w:r>
              <w:rPr>
                <w:rFonts w:hint="eastAsia" w:ascii="仿宋_GB2312" w:eastAsia="仿宋_GB2312"/>
                <w:b/>
                <w:bCs/>
                <w:strike w:val="0"/>
                <w:dstrike w:val="0"/>
                <w:color w:val="auto"/>
                <w:sz w:val="18"/>
                <w:szCs w:val="18"/>
                <w:highlight w:val="none"/>
                <w:u w:val="none" w:color="auto"/>
                <w:shd w:val="clear" w:color="auto" w:fill="auto"/>
              </w:rPr>
              <w:t>安全保障</w:t>
            </w: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19.粮食综合生产能力（万吨）</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52.5</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55.5</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约束性</w:t>
            </w:r>
          </w:p>
        </w:tc>
      </w:tr>
      <w:tr>
        <w:tblPrEx>
          <w:tblCellMar>
            <w:top w:w="0" w:type="dxa"/>
            <w:left w:w="108" w:type="dxa"/>
            <w:bottom w:w="0" w:type="dxa"/>
            <w:right w:w="108" w:type="dxa"/>
          </w:tblCellMar>
        </w:tblPrEx>
        <w:trPr>
          <w:trHeight w:val="454" w:hRule="atLeast"/>
        </w:trPr>
        <w:tc>
          <w:tcPr>
            <w:tcW w:w="10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600" w:lineRule="exact"/>
              <w:textAlignment w:val="auto"/>
              <w:rPr>
                <w:rFonts w:ascii="仿宋_GB2312" w:eastAsia="仿宋_GB2312"/>
                <w:strike w:val="0"/>
                <w:dstrike w:val="0"/>
                <w:color w:val="auto"/>
                <w:sz w:val="18"/>
                <w:szCs w:val="18"/>
                <w:highlight w:val="none"/>
                <w:u w:val="none" w:color="auto"/>
                <w:shd w:val="clear" w:color="auto" w:fill="auto"/>
              </w:rPr>
            </w:pPr>
          </w:p>
        </w:tc>
        <w:tc>
          <w:tcPr>
            <w:tcW w:w="3663" w:type="dxa"/>
            <w:tcBorders>
              <w:top w:val="single" w:color="000000" w:sz="4" w:space="0"/>
              <w:left w:val="single" w:color="000000" w:sz="4" w:space="0"/>
              <w:bottom w:val="single" w:color="000000" w:sz="4" w:space="0"/>
              <w:right w:val="single" w:color="000000" w:sz="4" w:space="0"/>
            </w:tcBorders>
            <w:shd w:val="clear" w:color="auto" w:fill="auto"/>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20.能源综合生产能力（万吨标煤）</w:t>
            </w:r>
          </w:p>
        </w:tc>
        <w:tc>
          <w:tcPr>
            <w:tcW w:w="20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116</w:t>
            </w:r>
          </w:p>
        </w:tc>
        <w:tc>
          <w:tcPr>
            <w:tcW w:w="1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hint="eastAsia"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完成</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约束性</w:t>
            </w:r>
          </w:p>
        </w:tc>
      </w:tr>
      <w:tr>
        <w:tblPrEx>
          <w:tblCellMar>
            <w:top w:w="0" w:type="dxa"/>
            <w:left w:w="108" w:type="dxa"/>
            <w:bottom w:w="0" w:type="dxa"/>
            <w:right w:w="108" w:type="dxa"/>
          </w:tblCellMar>
        </w:tblPrEx>
        <w:trPr>
          <w:trHeight w:val="454" w:hRule="atLeast"/>
        </w:trPr>
        <w:tc>
          <w:tcPr>
            <w:tcW w:w="9400" w:type="dxa"/>
            <w:gridSpan w:val="5"/>
            <w:tcBorders>
              <w:top w:val="single" w:color="000000" w:sz="4" w:space="0"/>
              <w:left w:val="nil"/>
              <w:bottom w:val="nil"/>
              <w:right w:val="nil"/>
            </w:tcBorders>
            <w:shd w:val="clear" w:color="auto" w:fill="auto"/>
            <w:noWrap/>
            <w:vAlign w:val="top"/>
          </w:tcPr>
          <w:p>
            <w:pPr>
              <w:pageBreakBefore w:val="0"/>
              <w:widowControl w:val="0"/>
              <w:kinsoku/>
              <w:wordWrap/>
              <w:overflowPunct/>
              <w:topLinePunct w:val="0"/>
              <w:autoSpaceDE/>
              <w:autoSpaceDN/>
              <w:bidi w:val="0"/>
              <w:spacing w:line="240" w:lineRule="auto"/>
              <w:jc w:val="left"/>
              <w:textAlignment w:val="auto"/>
              <w:rPr>
                <w:rFonts w:hint="eastAsia"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lang w:eastAsia="zh-CN"/>
              </w:rPr>
              <w:t>注：</w:t>
            </w:r>
            <w:r>
              <w:rPr>
                <w:rFonts w:hint="eastAsia" w:ascii="仿宋_GB2312" w:eastAsia="仿宋_GB2312"/>
                <w:strike w:val="0"/>
                <w:dstrike w:val="0"/>
                <w:color w:val="auto"/>
                <w:sz w:val="18"/>
                <w:szCs w:val="18"/>
                <w:highlight w:val="none"/>
                <w:u w:val="none" w:color="auto"/>
                <w:shd w:val="clear" w:color="auto" w:fill="auto"/>
              </w:rPr>
              <w:t>[]</w:t>
            </w:r>
            <w:r>
              <w:rPr>
                <w:rFonts w:hint="eastAsia" w:ascii="仿宋_GB2312" w:eastAsia="仿宋_GB2312"/>
                <w:strike w:val="0"/>
                <w:dstrike w:val="0"/>
                <w:color w:val="auto"/>
                <w:sz w:val="18"/>
                <w:szCs w:val="18"/>
                <w:highlight w:val="none"/>
                <w:u w:val="none" w:color="auto"/>
                <w:shd w:val="clear" w:color="auto" w:fill="auto"/>
                <w:lang w:eastAsia="zh-CN"/>
              </w:rPr>
              <w:t>为五年累计数</w:t>
            </w:r>
          </w:p>
        </w:tc>
      </w:tr>
    </w:tbl>
    <w:p>
      <w:pPr>
        <w:pStyle w:val="3"/>
        <w:keepNext/>
        <w:keepLines/>
        <w:pageBreakBefore w:val="0"/>
        <w:widowControl w:val="0"/>
        <w:kinsoku/>
        <w:wordWrap/>
        <w:overflowPunct/>
        <w:topLinePunct w:val="0"/>
        <w:autoSpaceDE/>
        <w:autoSpaceDN/>
        <w:bidi w:val="0"/>
        <w:adjustRightInd/>
        <w:snapToGrid/>
        <w:spacing w:line="600" w:lineRule="exact"/>
        <w:textAlignment w:val="auto"/>
        <w:rPr>
          <w:rFonts w:hint="default"/>
          <w:strike w:val="0"/>
          <w:dstrike w:val="0"/>
          <w:color w:val="auto"/>
          <w:highlight w:val="none"/>
          <w:u w:val="none" w:color="auto"/>
          <w:shd w:val="clear" w:color="auto" w:fill="auto"/>
          <w:lang w:val="en-US" w:eastAsia="zh-CN"/>
        </w:rPr>
      </w:pPr>
      <w:bookmarkStart w:id="59" w:name="_Toc1969167964"/>
      <w:r>
        <w:rPr>
          <w:rFonts w:hint="eastAsia"/>
          <w:strike w:val="0"/>
          <w:dstrike w:val="0"/>
          <w:color w:val="auto"/>
          <w:highlight w:val="none"/>
          <w:u w:val="none" w:color="auto"/>
          <w:shd w:val="clear" w:color="auto" w:fill="auto"/>
          <w:lang w:val="en-US" w:eastAsia="zh-CN"/>
        </w:rPr>
        <w:t>第二章 面临形势</w:t>
      </w:r>
      <w:bookmarkEnd w:id="59"/>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“十五五”时期，‌庄河发展的国内外环境和自身条件都有新的变化，既面临着错综复杂的内外部环境带来的新矛盾、新挑战，也处于具有新的历史特点的重要战略机遇期。</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从国际发展环境看</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世界百年变局加速演进，国际力量对比深刻调整，全球进入动荡变革期。地缘冲突易发多发，全球治理赤字加重，单边主义、保护主义抬头，霸权主义与强权政治威胁上升，国际经贸秩序遭遇严峻挑战，世界经济增长动能不足、风险持续积累，大国博弈更趋复杂激烈，外部环境的不确定性不稳定性显著增强。变局中也蕴含机遇。新一轮科技革命和产业变革正突破发展，为我国参与全球竞争提供了换道超车的窗口。同时，我国综合国力和国际影响力持续提升，具备主动运筹国际空间、塑造有利外部环境的实力。对坚持开放和创新的庄河来说，机遇与挑战并存，要抢抓科技革命和产业变革孕育的新机遇，也要充分做好应对外部环境深刻复杂变化的准备。</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default" w:ascii="仿宋_GB2312" w:hAnsi="仿宋_GB2312" w:eastAsia="仿宋_GB2312" w:cs="仿宋_GB2312"/>
          <w:strike w:val="0"/>
          <w:dstrike w:val="0"/>
          <w:color w:val="auto"/>
          <w:sz w:val="32"/>
          <w:szCs w:val="32"/>
          <w:highlight w:val="none"/>
          <w:u w:val="none" w:color="auto"/>
          <w:shd w:val="clear" w:color="auto" w:fill="auto"/>
          <w:lang w:val="en-US" w:eastAsia="zh-CN"/>
        </w:rPr>
      </w:pPr>
      <w:bookmarkStart w:id="60" w:name="_Toc13018"/>
      <w:bookmarkStart w:id="61" w:name="_Toc1992"/>
      <w:bookmarkStart w:id="62" w:name="_Toc15570"/>
      <w:bookmarkStart w:id="63" w:name="_Toc28535"/>
      <w:bookmarkStart w:id="64" w:name="_Toc1165"/>
      <w:bookmarkStart w:id="65" w:name="_Toc5896"/>
      <w:bookmarkStart w:id="66" w:name="_Toc13507"/>
      <w:bookmarkStart w:id="67" w:name="_Toc10672"/>
      <w:bookmarkStart w:id="68" w:name="_Toc26757"/>
      <w:bookmarkStart w:id="69" w:name="_Toc11066"/>
      <w:bookmarkStart w:id="70" w:name="_Toc23850"/>
      <w:bookmarkStart w:id="71" w:name="_Toc14996"/>
      <w:bookmarkStart w:id="72" w:name="_Toc27152"/>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从国内发展态势看，</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我国正处于中等收入国家向高收入国家跨越、进而向中等发达国家迈进的关键阶段，发展条件和增长模式都在发生深刻变化，经济深化发展呈现诸多新趋势、新特征。一方面，转型任务艰巨复杂。新旧动能转换任务艰巨，需求不足制约经济循环，农业农村现代化亟待加速，外部开放面临新形势，民生保障面临新要求，如期实现碳达峰目标任务紧迫，重点领域安全风险交织叠加。另一方面，支撑转型的基础坚实。我国制度优势显著、治理能力提升，经济长期向好的基本面没有变，物质基础雄厚、人力资源丰富、市场空间广阔，发展韧性强劲且社会大局稳定。以国内大循环为主体、国内国际双循环相互促进的新发展格局正加速构建，以消费和服务经济为代表的新动能，正成为引领结构转型升级的主引擎。国家“海洋强国”战略与“一带一路”倡议的推进，也将为庄河外向型经济开辟更加广阔的发展舞台。</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从庄河发展实际看，</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当前庄河正处于工业化中期发展阶段，城镇化加速增长的中期阶段，以及农业现代化向成熟阶段转变的关键时期，站在转型发展的关键历史关口，经济社会发展中的一些问题需要在“十五五”时期重点突破。一是产业结构性矛盾突出，制造业占比过早过快下降，传统产业层次低，智能化改造、数字化转型亟待提速，新兴产业占比小，服务业发展滞后，新旧动能接续不畅；二是核心竞争力不强，自主创新能力总体偏弱，创新主体数量少、研发投入强度低，支撑产业能级提升、动能转换的创新要素集聚能力亟需提升；三是城市综合承载力不强，城市规模能级不高，高端经济功能集聚乏力，港口门户功能尚未充分开发，资源空间趋紧，乡镇间发展不平衡不协调问题仍然突出；四是人口结构与市场活力面临双重压力，老龄化程度高，人口外流加剧，人才储备相对薄弱，市场活力不足，“三驾马车”中消费动能呈明显短板；五是民生保障和治理能力仍有短板，优质公共服务供给与群众期盼尚有差距，社会治理、安全生产、生态环保等领域仍需持续用力。</w:t>
      </w:r>
    </w:p>
    <w:p>
      <w:pPr>
        <w:pStyle w:val="3"/>
        <w:keepNext/>
        <w:keepLines/>
        <w:pageBreakBefore w:val="0"/>
        <w:widowControl w:val="0"/>
        <w:kinsoku/>
        <w:wordWrap/>
        <w:overflowPunct/>
        <w:topLinePunct w:val="0"/>
        <w:autoSpaceDE/>
        <w:autoSpaceDN/>
        <w:bidi w:val="0"/>
        <w:adjustRightInd/>
        <w:snapToGrid/>
        <w:spacing w:line="600" w:lineRule="exact"/>
        <w:textAlignment w:val="auto"/>
        <w:rPr>
          <w:rFonts w:hint="default" w:ascii="宋体" w:hAnsi="宋体" w:eastAsia="黑体" w:cs="Times New Roman"/>
          <w:strike w:val="0"/>
          <w:dstrike w:val="0"/>
          <w:color w:val="auto"/>
          <w:szCs w:val="32"/>
          <w:highlight w:val="none"/>
          <w:u w:val="none" w:color="auto"/>
          <w:shd w:val="clear" w:color="auto" w:fill="auto"/>
          <w:lang w:val="en-US" w:eastAsia="zh-CN"/>
        </w:rPr>
      </w:pPr>
      <w:bookmarkStart w:id="73" w:name="_Toc892684712"/>
      <w:r>
        <w:rPr>
          <w:rFonts w:hint="eastAsia"/>
          <w:strike w:val="0"/>
          <w:dstrike w:val="0"/>
          <w:color w:val="auto"/>
          <w:highlight w:val="none"/>
          <w:u w:val="none" w:color="auto"/>
          <w:shd w:val="clear" w:color="auto" w:fill="auto"/>
          <w:lang w:val="en-US" w:eastAsia="zh-CN"/>
        </w:rPr>
        <w:t>第三章</w:t>
      </w:r>
      <w:bookmarkEnd w:id="60"/>
      <w:bookmarkEnd w:id="61"/>
      <w:bookmarkEnd w:id="62"/>
      <w:bookmarkEnd w:id="63"/>
      <w:bookmarkEnd w:id="64"/>
      <w:bookmarkEnd w:id="65"/>
      <w:bookmarkEnd w:id="66"/>
      <w:bookmarkEnd w:id="67"/>
      <w:bookmarkEnd w:id="68"/>
      <w:bookmarkEnd w:id="69"/>
      <w:bookmarkEnd w:id="70"/>
      <w:bookmarkEnd w:id="71"/>
      <w:bookmarkEnd w:id="72"/>
      <w:r>
        <w:rPr>
          <w:rFonts w:hint="eastAsia"/>
          <w:strike w:val="0"/>
          <w:dstrike w:val="0"/>
          <w:color w:val="auto"/>
          <w:highlight w:val="none"/>
          <w:u w:val="none" w:color="auto"/>
          <w:shd w:val="clear" w:color="auto" w:fill="auto"/>
          <w:lang w:val="en-US" w:eastAsia="zh-CN"/>
        </w:rPr>
        <w:t xml:space="preserve"> 指导方针</w:t>
      </w:r>
      <w:bookmarkEnd w:id="73"/>
    </w:p>
    <w:p>
      <w:pPr>
        <w:pStyle w:val="4"/>
        <w:pageBreakBefore w:val="0"/>
        <w:widowControl w:val="0"/>
        <w:kinsoku/>
        <w:wordWrap/>
        <w:overflowPunct/>
        <w:topLinePunct w:val="0"/>
        <w:autoSpaceDE/>
        <w:autoSpaceDN/>
        <w:bidi w:val="0"/>
        <w:spacing w:line="600" w:lineRule="exact"/>
        <w:textAlignment w:val="auto"/>
        <w:rPr>
          <w:rFonts w:hint="eastAsia"/>
          <w:strike w:val="0"/>
          <w:dstrike w:val="0"/>
          <w:color w:val="auto"/>
          <w:highlight w:val="none"/>
          <w:u w:val="none" w:color="auto"/>
          <w:shd w:val="clear" w:color="auto" w:fill="auto"/>
          <w:lang w:val="en-US" w:eastAsia="zh-CN"/>
        </w:rPr>
      </w:pPr>
      <w:bookmarkStart w:id="74" w:name="_Toc775085816"/>
      <w:r>
        <w:rPr>
          <w:rFonts w:hint="eastAsia"/>
          <w:strike w:val="0"/>
          <w:dstrike w:val="0"/>
          <w:color w:val="auto"/>
          <w:highlight w:val="none"/>
          <w:u w:val="none" w:color="auto"/>
          <w:shd w:val="clear" w:color="auto" w:fill="auto"/>
          <w:lang w:val="en-US" w:eastAsia="zh-CN"/>
        </w:rPr>
        <w:t>第一节 指导思想</w:t>
      </w:r>
      <w:bookmarkEnd w:id="74"/>
    </w:p>
    <w:p>
      <w:pPr>
        <w:keepNext w:val="0"/>
        <w:keepLines w:val="0"/>
        <w:widowControl/>
        <w:suppressLineNumbers w:val="0"/>
        <w:ind w:firstLine="640" w:firstLineChars="200"/>
        <w:jc w:val="both"/>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坚持马克思列宁主义、毛泽东思想、邓小平理论、“三个代表”重要思想、科学发展观，全面贯彻习近平新时代中国特色社会主义思想，深入贯彻党的二十大和二十届历次全会精神，认真落实四中全会部署，一体贯彻落实习近平总书记关于东北、辽宁及大连全面振兴的重要讲话和重要指示批示精神，全面落实党中央关于东北全面振兴的决策部署，认真落实省委十三届十次全会和大连市委十三届十一次全会精神，统筹推进“五位一体”总体布局，协调推进“四个全面”战略布局，完整准确全面贯彻新发展理念，更好服务和融入新发展格局，扎实履行维护国家“五大安全”重要使命，锚定“区域引领性绿色经济发展实践区和北黄海生态型现代化海滨城市”发展定位，围绕当好东北县域经济高质量发展“先锋队”，坚持稳中求进工作总基调，坚持以经济建设为中心，以推动高质量发展为主题，以改革创新为根本动力，以满足人民日益增长的美好生活需要为根本目的，以全面从严治党为根本保障，持续优化营商环境，推动县域经济实现质的有效提升和量的合理增长，推动人的全面发展和促进共同富裕，推动乡村全面振兴迈出坚实步伐，为确保我国基本实现社会主义现代化取得决定性进展贡献庄河力量。</w:t>
      </w:r>
    </w:p>
    <w:p>
      <w:pPr>
        <w:pStyle w:val="4"/>
        <w:bidi w:val="0"/>
        <w:rPr>
          <w:rFonts w:hint="default"/>
          <w:strike w:val="0"/>
          <w:dstrike w:val="0"/>
          <w:color w:val="auto"/>
          <w:highlight w:val="none"/>
          <w:u w:val="none" w:color="auto"/>
          <w:shd w:val="clear" w:color="auto" w:fill="auto"/>
          <w:lang w:val="en-US" w:eastAsia="zh-CN"/>
        </w:rPr>
      </w:pPr>
      <w:bookmarkStart w:id="75" w:name="_Toc1015242187"/>
      <w:bookmarkStart w:id="76" w:name="_Toc627600156"/>
      <w:r>
        <w:rPr>
          <w:rFonts w:hint="eastAsia"/>
          <w:strike w:val="0"/>
          <w:dstrike w:val="0"/>
          <w:color w:val="auto"/>
          <w:highlight w:val="none"/>
          <w:u w:val="none" w:color="auto"/>
          <w:lang w:val="en-US" w:eastAsia="zh-CN"/>
        </w:rPr>
        <w:t>第二节 基本要求</w:t>
      </w:r>
      <w:bookmarkEnd w:id="75"/>
      <w:bookmarkEnd w:id="76"/>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推动“十五五”时期经济社会发展，必须严格遵循党中央明确的坚持党的全面领导、坚持人民至上、坚持高质量发展、坚持全面深化改革、坚持有效市场和有为政府相结合、坚持统筹发展和安全重大原则，用以统一思想和行动。在此前提下，结合庄河实际，重点把握以下要求。</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——解放思想、改革创新。</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聚焦制约庄河高质量发展的体制机制障碍，实施创新驱动发展战略，推进深层次改革，以创新促改革，以改革促发展，打造市场化法治化国际化营商环境，推动经济社会发展和城乡治理更好相适应，持续增强发展动力和社会活力。</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——锐意进取、勇于争先。</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坚定不移沿着总书记指引的方向阔步前行，以更高站位、更宽视野、更实举措主动融入全国、全省和大连市发展全局，践行绿色发展理念，加快推进“一区一城”高质量发展，切实把庄河得天独厚的区位优势和生态资源禀赋转化为推动高质量发展优势。</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——统筹协同、综合施策。</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以新发展理念引领发展，统筹做好三次产业协同发展、扩大内需和深化供给侧结构性改革、城乡协同联动，加快培育新动能，促进经济结构优化升级，做优增量、盘活存量，推动经济持续健康发展和社会全面进步。</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——坚定信心、真抓实干。</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坚决贯彻落实党中央决策部署及省委、大连市委工作要求，保持战略定力，增强必胜信心，一张蓝图绘到底，求真务实、埋头苦干，以更高站位、更大格局、更实作风谋划推动工作，在新征程上更好应变局、育新机、开新局。</w:t>
      </w:r>
    </w:p>
    <w:p>
      <w:pPr>
        <w:pStyle w:val="4"/>
        <w:bidi w:val="0"/>
        <w:rPr>
          <w:rFonts w:hint="default"/>
          <w:strike w:val="0"/>
          <w:dstrike w:val="0"/>
          <w:color w:val="auto"/>
          <w:highlight w:val="none"/>
          <w:u w:val="none" w:color="auto"/>
          <w:lang w:val="en-US" w:eastAsia="zh-CN"/>
        </w:rPr>
      </w:pPr>
      <w:bookmarkStart w:id="77" w:name="_Toc97346271"/>
      <w:bookmarkStart w:id="78" w:name="_Toc165405377"/>
      <w:r>
        <w:rPr>
          <w:rFonts w:hint="eastAsia"/>
          <w:strike w:val="0"/>
          <w:dstrike w:val="0"/>
          <w:color w:val="auto"/>
          <w:highlight w:val="none"/>
          <w:u w:val="none" w:color="auto"/>
          <w:lang w:val="en-US" w:eastAsia="zh-CN"/>
        </w:rPr>
        <w:t>第三节 主要目标</w:t>
      </w:r>
      <w:bookmarkEnd w:id="77"/>
      <w:bookmarkEnd w:id="78"/>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综合考虑未来发展趋势和条件，到二〇三〇年，全市经济实力显著增强，创新动能不断迸发，社会事业全面进步，“一区一城”高质量发展再上新台阶，维护国家“五大安全”能力明显提升，基本形成营商环境好、创新能力强、产业结构优、生态环境美、发展活力足、幸福指数高的全面振兴新局面。</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——高质量发展取得新突破。</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因地制宜发展新质生产力，更好服务和融入新发展格局，经济增长保持在合理区间，经济结构更加优化，全要素生产率稳步提升，居民消费率明显提高，内需拉动经济增长主动力作用持续增强，到二〇三〇年，大连北黄海经济开发区地区生产总值实现翻番，全市地区生产总值达到千亿级。基本建成经济结构更加优化的实力庄河。</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——科技创新能力大幅提高。</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支持全面创新的体制机制更加健全，教育科技人才一体发展格局基本形成，全社会研发投入强度稳步增长，科技创新成果本地转化和产业化水平显著提高。基本建成创新能力明显增强的科创庄河。</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——进一步全面深化改革取得明显成效。</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高水平制度创新成果不断涌现，治理体系和治理能力现代化深入推进，社会主义市场经济体制更加完善，有效市场和有为政府更好结合，全过程人民民主制度化、规范化、程序化水平进一步提高，法治庄河建设达到更高水平。基本建成发展环境更加优越的活力庄河。</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——对外开放能级实现跃升。</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高水平对外开放体制机制更加健全，开放平台集聚高端资源要素成效突出，庄河港开放能级不断提升。基本建成近悦远来的开放庄河。</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——城乡融合发展水平显著提升。</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新型城镇化和乡村全面振兴统筹推进。现代化城市体系全面优化，城市空间更加集约紧凑、功能复合、低碳高效。城乡空间布局更加合理，农村基础设施提档升级，要素流动更加顺畅高效，产业协同发展，基本公共服务均等化稳步推进，建设一批中心镇、重点村。基本建成城乡融合的富裕庄河。</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——海洋经济高质量发展迈上新台阶。</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海洋经济量质齐升，海洋新质生产力不断培育，海洋产业体系更加完善。海洋空间布局持续优化，依法高效用海长效机制更加健全，海洋生态环境保护成果显著，重点海域综合治理取得新成效。基本建成海陆统筹的蓝色庄河。</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——生态文明建设取得重要进展。</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绿色生产生活方式基本形成，“风光火核储”一体化能源基地和清洁低碳高效的新型能源体系加快建成，水、大气、土壤等生态环境更加优良，城乡人居环境显著改善。基本建成山海城相融共生的生态庄河。</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——社会文明程度显著提高。</w:t>
      </w:r>
      <w:r>
        <w:rPr>
          <w:rFonts w:hint="eastAsia" w:ascii="仿宋_GB2312" w:hAnsi="仿宋_GB2312" w:eastAsia="仿宋_GB2312" w:cs="仿宋_GB2312"/>
          <w:b w:val="0"/>
          <w:bCs w:val="0"/>
          <w:strike w:val="0"/>
          <w:dstrike w:val="0"/>
          <w:color w:val="auto"/>
          <w:sz w:val="32"/>
          <w:szCs w:val="32"/>
          <w:highlight w:val="none"/>
          <w:u w:val="none" w:color="auto"/>
          <w:shd w:val="clear" w:color="auto" w:fill="auto"/>
          <w:lang w:val="en-US" w:eastAsia="zh-CN"/>
        </w:rPr>
        <w:t>文化自信更加坚定，主流思想舆论不断巩固壮大，社会主义核心价</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值观广泛践行，文化创新创造活力不断激发，人民精神文化生活更加丰富，城市文明建设水平不断提升。基本建成文化繁荣的文明庄河。</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——人民生活品质明显改善。</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高质量充分就业取得新进展，居民收入增长和经济增长同步、劳动报酬提高和劳动生产率提高同步，社会保障体系更加完善，基本公共服务均等化水平明显提升。基本建成人民群众获得感、幸福感、安全感进一步增强的幸福庄河。</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b w:val="0"/>
          <w:bCs w:val="0"/>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——统筹发展和安全能力不断增强。</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维护国家安全的统筹协调机制更加健全，重点领域风险得到有效防范化解，社会治理体系更加完善，社会治理和公共安全治理水平明显提高，城市安全韧性和突发公共事件应急能力不断增强。基本建成更高水平的平安庄河。</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在此基础上再奋斗五年，到二〇三五年实现经济实力、科技实力、综合实力大幅提升，人民生活更加幸福美好，与全国一道基本实现社会主义现代化。</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trike w:val="0"/>
          <w:dstrike w:val="0"/>
          <w:color w:val="auto"/>
          <w:sz w:val="32"/>
          <w:szCs w:val="32"/>
          <w:highlight w:val="none"/>
          <w:u w:val="none" w:color="auto"/>
          <w:shd w:val="clear" w:color="auto" w:fill="auto"/>
          <w:lang w:val="en-US" w:eastAsia="zh-CN"/>
        </w:rPr>
      </w:pPr>
      <w:r>
        <w:rPr>
          <w:rFonts w:hint="eastAsia" w:ascii="方正小标宋简体" w:hAnsi="方正小标宋简体" w:eastAsia="方正小标宋简体" w:cs="方正小标宋简体"/>
          <w:b w:val="0"/>
          <w:bCs w:val="0"/>
          <w:strike w:val="0"/>
          <w:dstrike w:val="0"/>
          <w:color w:val="auto"/>
          <w:sz w:val="32"/>
          <w:szCs w:val="32"/>
          <w:highlight w:val="none"/>
          <w:u w:val="none" w:color="auto"/>
          <w:shd w:val="clear" w:color="auto" w:fill="auto"/>
          <w:lang w:val="en-US" w:eastAsia="zh-CN"/>
        </w:rPr>
        <w:t>表2 庄河市“十五五”经济社会发展主要指标表</w:t>
      </w:r>
    </w:p>
    <w:tbl>
      <w:tblPr>
        <w:tblStyle w:val="20"/>
        <w:tblW w:w="4675" w:type="pct"/>
        <w:jc w:val="center"/>
        <w:tblLayout w:type="fixed"/>
        <w:tblCellMar>
          <w:top w:w="0" w:type="dxa"/>
          <w:left w:w="108" w:type="dxa"/>
          <w:bottom w:w="0" w:type="dxa"/>
          <w:right w:w="108" w:type="dxa"/>
        </w:tblCellMar>
      </w:tblPr>
      <w:tblGrid>
        <w:gridCol w:w="637"/>
        <w:gridCol w:w="712"/>
        <w:gridCol w:w="4155"/>
        <w:gridCol w:w="2040"/>
        <w:gridCol w:w="1245"/>
      </w:tblGrid>
      <w:tr>
        <w:tblPrEx>
          <w:tblCellMar>
            <w:top w:w="0" w:type="dxa"/>
            <w:left w:w="108" w:type="dxa"/>
            <w:bottom w:w="0" w:type="dxa"/>
            <w:right w:w="108" w:type="dxa"/>
          </w:tblCellMar>
        </w:tblPrEx>
        <w:trPr>
          <w:trHeight w:val="454" w:hRule="atLeast"/>
          <w:jc w:val="center"/>
        </w:trPr>
        <w:tc>
          <w:tcPr>
            <w:tcW w:w="362"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eastAsia" w:ascii="黑体" w:hAnsi="黑体" w:eastAsia="黑体" w:cs="Times New Roman"/>
                <w:b/>
                <w:bCs/>
                <w:strike w:val="0"/>
                <w:dstrike w:val="0"/>
                <w:color w:val="auto"/>
                <w:kern w:val="2"/>
                <w:sz w:val="18"/>
                <w:szCs w:val="18"/>
                <w:highlight w:val="none"/>
                <w:u w:val="none" w:color="auto"/>
                <w:shd w:val="clear" w:color="auto" w:fill="auto"/>
                <w:lang w:val="en-US" w:eastAsia="zh-CN" w:bidi="ar-SA"/>
              </w:rPr>
            </w:pPr>
            <w:bookmarkStart w:id="79" w:name="_Toc7114"/>
            <w:bookmarkStart w:id="80" w:name="_Toc23065"/>
            <w:bookmarkStart w:id="81" w:name="_Toc32750"/>
            <w:bookmarkStart w:id="82" w:name="_Toc28495"/>
            <w:bookmarkStart w:id="83" w:name="_Toc11620"/>
            <w:bookmarkStart w:id="84" w:name="_Toc18897"/>
            <w:bookmarkStart w:id="85" w:name="_Toc17650"/>
            <w:bookmarkStart w:id="86" w:name="_Toc31941"/>
            <w:bookmarkStart w:id="87" w:name="_Toc20880"/>
            <w:bookmarkStart w:id="88" w:name="_Toc23080"/>
            <w:bookmarkStart w:id="89" w:name="_Toc20818"/>
            <w:bookmarkStart w:id="90" w:name="_Toc17223"/>
            <w:bookmarkStart w:id="91" w:name="_Toc13459"/>
            <w:r>
              <w:rPr>
                <w:rFonts w:hint="eastAsia" w:ascii="黑体" w:hAnsi="黑体" w:eastAsia="黑体"/>
                <w:b/>
                <w:bCs/>
                <w:strike w:val="0"/>
                <w:dstrike w:val="0"/>
                <w:color w:val="auto"/>
                <w:sz w:val="18"/>
                <w:szCs w:val="18"/>
                <w:highlight w:val="none"/>
                <w:u w:val="none" w:color="auto"/>
                <w:shd w:val="clear" w:color="auto" w:fill="auto"/>
                <w:lang w:val="en-US" w:eastAsia="zh-CN"/>
              </w:rPr>
              <w:t>序号</w:t>
            </w:r>
          </w:p>
        </w:tc>
        <w:tc>
          <w:tcPr>
            <w:tcW w:w="405"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eastAsia" w:ascii="黑体" w:hAnsi="黑体" w:eastAsia="黑体" w:cs="Times New Roman"/>
                <w:b/>
                <w:bCs/>
                <w:strike w:val="0"/>
                <w:dstrike w:val="0"/>
                <w:color w:val="auto"/>
                <w:kern w:val="2"/>
                <w:sz w:val="18"/>
                <w:szCs w:val="18"/>
                <w:highlight w:val="none"/>
                <w:u w:val="none" w:color="auto"/>
                <w:shd w:val="clear" w:color="auto" w:fill="auto"/>
                <w:lang w:val="en-US" w:eastAsia="zh-CN" w:bidi="ar-SA"/>
              </w:rPr>
            </w:pPr>
            <w:r>
              <w:rPr>
                <w:rFonts w:hint="eastAsia" w:ascii="黑体" w:hAnsi="黑体" w:eastAsia="黑体"/>
                <w:b/>
                <w:bCs/>
                <w:strike w:val="0"/>
                <w:dstrike w:val="0"/>
                <w:color w:val="auto"/>
                <w:sz w:val="18"/>
                <w:szCs w:val="18"/>
                <w:highlight w:val="none"/>
                <w:u w:val="none" w:color="auto"/>
                <w:shd w:val="clear" w:color="auto" w:fill="auto"/>
                <w:lang w:val="en-US" w:eastAsia="zh-CN"/>
              </w:rPr>
              <w:t>分类</w:t>
            </w:r>
          </w:p>
        </w:tc>
        <w:tc>
          <w:tcPr>
            <w:tcW w:w="2363" w:type="pct"/>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val="0"/>
              <w:kinsoku/>
              <w:wordWrap/>
              <w:overflowPunct/>
              <w:topLinePunct w:val="0"/>
              <w:autoSpaceDE/>
              <w:autoSpaceDN/>
              <w:bidi w:val="0"/>
              <w:spacing w:line="240" w:lineRule="auto"/>
              <w:jc w:val="center"/>
              <w:textAlignment w:val="auto"/>
              <w:rPr>
                <w:rFonts w:hint="eastAsia" w:ascii="黑体" w:hAnsi="黑体" w:eastAsia="黑体" w:cs="Times New Roman"/>
                <w:b/>
                <w:bCs/>
                <w:strike w:val="0"/>
                <w:dstrike w:val="0"/>
                <w:color w:val="auto"/>
                <w:kern w:val="2"/>
                <w:sz w:val="18"/>
                <w:szCs w:val="18"/>
                <w:highlight w:val="none"/>
                <w:u w:val="none" w:color="auto"/>
                <w:shd w:val="clear" w:color="auto" w:fill="auto"/>
                <w:lang w:val="en-US" w:eastAsia="zh-CN" w:bidi="ar-SA"/>
              </w:rPr>
            </w:pPr>
            <w:r>
              <w:rPr>
                <w:rFonts w:hint="eastAsia" w:ascii="黑体" w:hAnsi="黑体" w:eastAsia="黑体"/>
                <w:b/>
                <w:bCs/>
                <w:strike w:val="0"/>
                <w:dstrike w:val="0"/>
                <w:color w:val="auto"/>
                <w:sz w:val="18"/>
                <w:szCs w:val="18"/>
                <w:highlight w:val="none"/>
                <w:u w:val="none" w:color="auto"/>
                <w:shd w:val="clear" w:color="auto" w:fill="auto"/>
                <w:lang w:eastAsia="zh-CN"/>
              </w:rPr>
              <w:t>指标</w:t>
            </w:r>
          </w:p>
        </w:tc>
        <w:tc>
          <w:tcPr>
            <w:tcW w:w="1160"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eastAsia" w:ascii="黑体" w:hAnsi="黑体" w:eastAsia="黑体" w:cs="Times New Roman"/>
                <w:b/>
                <w:bCs/>
                <w:strike w:val="0"/>
                <w:dstrike w:val="0"/>
                <w:color w:val="auto"/>
                <w:kern w:val="2"/>
                <w:sz w:val="18"/>
                <w:szCs w:val="18"/>
                <w:highlight w:val="none"/>
                <w:u w:val="none" w:color="auto"/>
                <w:shd w:val="clear" w:color="auto" w:fill="auto"/>
                <w:lang w:val="en-US" w:eastAsia="zh-CN" w:bidi="ar-SA"/>
              </w:rPr>
            </w:pPr>
            <w:r>
              <w:rPr>
                <w:rFonts w:hint="eastAsia" w:ascii="黑体" w:hAnsi="黑体" w:eastAsia="黑体"/>
                <w:b/>
                <w:bCs/>
                <w:strike w:val="0"/>
                <w:dstrike w:val="0"/>
                <w:color w:val="auto"/>
                <w:sz w:val="18"/>
                <w:szCs w:val="18"/>
                <w:highlight w:val="none"/>
                <w:u w:val="none" w:color="auto"/>
                <w:shd w:val="clear" w:color="auto" w:fill="auto"/>
                <w:lang w:val="en-US" w:eastAsia="zh-CN"/>
              </w:rPr>
              <w:t>目标</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eastAsia" w:ascii="黑体" w:hAnsi="黑体" w:eastAsia="黑体" w:cs="Times New Roman"/>
                <w:b/>
                <w:bCs/>
                <w:strike w:val="0"/>
                <w:dstrike w:val="0"/>
                <w:color w:val="auto"/>
                <w:kern w:val="2"/>
                <w:sz w:val="18"/>
                <w:szCs w:val="18"/>
                <w:highlight w:val="none"/>
                <w:u w:val="none" w:color="auto"/>
                <w:shd w:val="clear" w:color="auto" w:fill="auto"/>
                <w:lang w:val="en-US" w:eastAsia="zh-CN" w:bidi="ar-SA"/>
              </w:rPr>
            </w:pPr>
            <w:r>
              <w:rPr>
                <w:rFonts w:hint="eastAsia" w:ascii="黑体" w:hAnsi="黑体" w:eastAsia="黑体"/>
                <w:b/>
                <w:bCs/>
                <w:strike w:val="0"/>
                <w:dstrike w:val="0"/>
                <w:color w:val="auto"/>
                <w:sz w:val="18"/>
                <w:szCs w:val="18"/>
                <w:highlight w:val="none"/>
                <w:u w:val="none" w:color="auto"/>
                <w:shd w:val="clear" w:color="auto" w:fill="auto"/>
                <w:lang w:eastAsia="zh-CN"/>
              </w:rPr>
              <w:t>属性</w:t>
            </w:r>
          </w:p>
        </w:tc>
      </w:tr>
      <w:tr>
        <w:tblPrEx>
          <w:tblCellMar>
            <w:top w:w="0" w:type="dxa"/>
            <w:left w:w="108" w:type="dxa"/>
            <w:bottom w:w="0" w:type="dxa"/>
            <w:right w:w="108" w:type="dxa"/>
          </w:tblCellMar>
        </w:tblPrEx>
        <w:trPr>
          <w:trHeight w:val="454" w:hRule="atLeast"/>
          <w:jc w:val="center"/>
        </w:trPr>
        <w:tc>
          <w:tcPr>
            <w:tcW w:w="362"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eastAsia"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1</w:t>
            </w:r>
          </w:p>
        </w:tc>
        <w:tc>
          <w:tcPr>
            <w:tcW w:w="405" w:type="pct"/>
            <w:vMerge w:val="restar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b/>
                <w:bCs/>
                <w:strike w:val="0"/>
                <w:dstrike w:val="0"/>
                <w:color w:val="auto"/>
                <w:sz w:val="18"/>
                <w:szCs w:val="18"/>
                <w:highlight w:val="none"/>
                <w:u w:val="none" w:color="auto"/>
                <w:shd w:val="clear" w:color="auto" w:fill="auto"/>
              </w:rPr>
            </w:pPr>
            <w:r>
              <w:rPr>
                <w:rFonts w:hint="eastAsia" w:ascii="仿宋_GB2312" w:eastAsia="仿宋_GB2312"/>
                <w:b/>
                <w:bCs/>
                <w:strike w:val="0"/>
                <w:dstrike w:val="0"/>
                <w:color w:val="auto"/>
                <w:sz w:val="18"/>
                <w:szCs w:val="18"/>
                <w:highlight w:val="none"/>
                <w:u w:val="none" w:color="auto"/>
                <w:shd w:val="clear" w:color="auto" w:fill="auto"/>
              </w:rPr>
              <w:t>经济发展</w:t>
            </w:r>
          </w:p>
        </w:tc>
        <w:tc>
          <w:tcPr>
            <w:tcW w:w="2363" w:type="pct"/>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地区生产总值</w:t>
            </w:r>
            <w:r>
              <w:rPr>
                <w:rFonts w:hint="eastAsia" w:ascii="仿宋_GB2312" w:eastAsia="仿宋_GB2312"/>
                <w:strike w:val="0"/>
                <w:dstrike w:val="0"/>
                <w:color w:val="auto"/>
                <w:sz w:val="18"/>
                <w:szCs w:val="18"/>
                <w:highlight w:val="none"/>
                <w:u w:val="none" w:color="auto"/>
                <w:shd w:val="clear" w:color="auto" w:fill="auto"/>
                <w:lang w:eastAsia="zh-CN"/>
              </w:rPr>
              <w:t>年均</w:t>
            </w:r>
            <w:r>
              <w:rPr>
                <w:rFonts w:hint="eastAsia" w:ascii="仿宋_GB2312" w:eastAsia="仿宋_GB2312"/>
                <w:strike w:val="0"/>
                <w:dstrike w:val="0"/>
                <w:color w:val="auto"/>
                <w:sz w:val="18"/>
                <w:szCs w:val="18"/>
                <w:highlight w:val="none"/>
                <w:u w:val="none" w:color="auto"/>
                <w:shd w:val="clear" w:color="auto" w:fill="auto"/>
              </w:rPr>
              <w:t>增</w:t>
            </w:r>
            <w:r>
              <w:rPr>
                <w:rFonts w:hint="eastAsia" w:ascii="仿宋_GB2312" w:eastAsia="仿宋_GB2312"/>
                <w:strike w:val="0"/>
                <w:dstrike w:val="0"/>
                <w:color w:val="auto"/>
                <w:sz w:val="18"/>
                <w:szCs w:val="18"/>
                <w:highlight w:val="none"/>
                <w:u w:val="none" w:color="auto"/>
                <w:shd w:val="clear" w:color="auto" w:fill="auto"/>
                <w:lang w:eastAsia="zh-CN"/>
              </w:rPr>
              <w:t>速</w:t>
            </w:r>
            <w:r>
              <w:rPr>
                <w:rFonts w:hint="eastAsia" w:ascii="仿宋_GB2312" w:eastAsia="仿宋_GB2312"/>
                <w:strike w:val="0"/>
                <w:dstrike w:val="0"/>
                <w:color w:val="auto"/>
                <w:sz w:val="18"/>
                <w:szCs w:val="18"/>
                <w:highlight w:val="none"/>
                <w:u w:val="none" w:color="auto"/>
                <w:shd w:val="clear" w:color="auto" w:fill="auto"/>
              </w:rPr>
              <w:t>（%）</w:t>
            </w:r>
          </w:p>
        </w:tc>
        <w:tc>
          <w:tcPr>
            <w:tcW w:w="1160"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5-6</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预期性</w:t>
            </w:r>
          </w:p>
        </w:tc>
      </w:tr>
      <w:tr>
        <w:tblPrEx>
          <w:tblCellMar>
            <w:top w:w="0" w:type="dxa"/>
            <w:left w:w="108" w:type="dxa"/>
            <w:bottom w:w="0" w:type="dxa"/>
            <w:right w:w="108" w:type="dxa"/>
          </w:tblCellMar>
        </w:tblPrEx>
        <w:trPr>
          <w:trHeight w:val="454" w:hRule="atLeast"/>
          <w:jc w:val="center"/>
        </w:trPr>
        <w:tc>
          <w:tcPr>
            <w:tcW w:w="362"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2</w:t>
            </w:r>
          </w:p>
        </w:tc>
        <w:tc>
          <w:tcPr>
            <w:tcW w:w="405" w:type="pct"/>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b/>
                <w:bCs/>
                <w:strike w:val="0"/>
                <w:dstrike w:val="0"/>
                <w:color w:val="auto"/>
                <w:sz w:val="18"/>
                <w:szCs w:val="18"/>
                <w:highlight w:val="none"/>
                <w:u w:val="none" w:color="auto"/>
                <w:shd w:val="clear" w:color="auto" w:fill="auto"/>
              </w:rPr>
            </w:pPr>
          </w:p>
        </w:tc>
        <w:tc>
          <w:tcPr>
            <w:tcW w:w="2363" w:type="pct"/>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val="0"/>
              <w:kinsoku/>
              <w:wordWrap/>
              <w:overflowPunct/>
              <w:topLinePunct w:val="0"/>
              <w:autoSpaceDE/>
              <w:autoSpaceDN/>
              <w:bidi w:val="0"/>
              <w:spacing w:line="240" w:lineRule="auto"/>
              <w:textAlignment w:val="auto"/>
              <w:rPr>
                <w:rFonts w:hint="default" w:ascii="仿宋_GB2312" w:hAnsi="Calibri" w:eastAsia="仿宋_GB2312" w:cs="Times New Roman"/>
                <w:strike w:val="0"/>
                <w:dstrike w:val="0"/>
                <w:color w:val="auto"/>
                <w:kern w:val="2"/>
                <w:sz w:val="18"/>
                <w:szCs w:val="18"/>
                <w:highlight w:val="none"/>
                <w:u w:val="none" w:color="auto"/>
                <w:shd w:val="clear" w:color="auto" w:fill="auto"/>
                <w:lang w:val="en-US" w:eastAsia="zh-CN" w:bidi="ar-SA"/>
              </w:rPr>
            </w:pPr>
            <w:r>
              <w:rPr>
                <w:rFonts w:hint="eastAsia" w:ascii="仿宋_GB2312" w:eastAsia="仿宋_GB2312"/>
                <w:strike w:val="0"/>
                <w:dstrike w:val="0"/>
                <w:color w:val="auto"/>
                <w:sz w:val="18"/>
                <w:szCs w:val="18"/>
                <w:highlight w:val="none"/>
                <w:u w:val="none" w:color="auto"/>
                <w:shd w:val="clear" w:color="auto" w:fill="auto"/>
                <w:lang w:val="en-US" w:eastAsia="zh-CN"/>
              </w:rPr>
              <w:t>全社会消费品零售总额</w:t>
            </w:r>
            <w:r>
              <w:rPr>
                <w:rFonts w:hint="eastAsia" w:ascii="仿宋_GB2312" w:eastAsia="仿宋_GB2312"/>
                <w:strike w:val="0"/>
                <w:dstrike w:val="0"/>
                <w:color w:val="auto"/>
                <w:sz w:val="18"/>
                <w:szCs w:val="18"/>
                <w:highlight w:val="none"/>
                <w:u w:val="none" w:color="auto"/>
                <w:shd w:val="clear" w:color="auto" w:fill="auto"/>
                <w:lang w:eastAsia="zh-CN"/>
              </w:rPr>
              <w:t>年均</w:t>
            </w:r>
            <w:r>
              <w:rPr>
                <w:rFonts w:hint="eastAsia" w:ascii="仿宋_GB2312" w:eastAsia="仿宋_GB2312"/>
                <w:strike w:val="0"/>
                <w:dstrike w:val="0"/>
                <w:color w:val="auto"/>
                <w:sz w:val="18"/>
                <w:szCs w:val="18"/>
                <w:highlight w:val="none"/>
                <w:u w:val="none" w:color="auto"/>
                <w:shd w:val="clear" w:color="auto" w:fill="auto"/>
                <w:lang w:val="en-US" w:eastAsia="zh-CN"/>
              </w:rPr>
              <w:t>增速</w:t>
            </w:r>
            <w:r>
              <w:rPr>
                <w:rFonts w:hint="eastAsia" w:ascii="仿宋_GB2312" w:eastAsia="仿宋_GB2312"/>
                <w:strike w:val="0"/>
                <w:dstrike w:val="0"/>
                <w:color w:val="auto"/>
                <w:sz w:val="18"/>
                <w:szCs w:val="18"/>
                <w:highlight w:val="none"/>
                <w:u w:val="none" w:color="auto"/>
                <w:shd w:val="clear" w:color="auto" w:fill="auto"/>
              </w:rPr>
              <w:t>（%）</w:t>
            </w:r>
          </w:p>
        </w:tc>
        <w:tc>
          <w:tcPr>
            <w:tcW w:w="1160"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eastAsia" w:ascii="仿宋_GB2312" w:hAnsi="Calibri" w:eastAsia="仿宋_GB2312" w:cs="Times New Roman"/>
                <w:strike w:val="0"/>
                <w:dstrike w:val="0"/>
                <w:color w:val="auto"/>
                <w:kern w:val="2"/>
                <w:sz w:val="18"/>
                <w:szCs w:val="18"/>
                <w:highlight w:val="none"/>
                <w:u w:val="none" w:color="auto"/>
                <w:shd w:val="clear" w:color="auto" w:fill="auto"/>
                <w:lang w:val="en-US" w:eastAsia="zh-CN" w:bidi="ar-SA"/>
              </w:rPr>
            </w:pPr>
            <w:r>
              <w:rPr>
                <w:rFonts w:hint="eastAsia" w:ascii="仿宋_GB2312" w:eastAsia="仿宋_GB2312"/>
                <w:strike w:val="0"/>
                <w:dstrike w:val="0"/>
                <w:color w:val="auto"/>
                <w:sz w:val="18"/>
                <w:szCs w:val="18"/>
                <w:highlight w:val="none"/>
                <w:u w:val="none" w:color="auto"/>
                <w:shd w:val="clear" w:color="auto" w:fill="auto"/>
                <w:lang w:val="en-US" w:eastAsia="zh-CN"/>
              </w:rPr>
              <w:t>高于全国平均水平</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eastAsia"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预期性</w:t>
            </w:r>
          </w:p>
        </w:tc>
      </w:tr>
      <w:tr>
        <w:tblPrEx>
          <w:tblCellMar>
            <w:top w:w="0" w:type="dxa"/>
            <w:left w:w="108" w:type="dxa"/>
            <w:bottom w:w="0" w:type="dxa"/>
            <w:right w:w="108" w:type="dxa"/>
          </w:tblCellMar>
        </w:tblPrEx>
        <w:trPr>
          <w:trHeight w:val="454" w:hRule="atLeast"/>
          <w:jc w:val="center"/>
        </w:trPr>
        <w:tc>
          <w:tcPr>
            <w:tcW w:w="362"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3</w:t>
            </w:r>
          </w:p>
        </w:tc>
        <w:tc>
          <w:tcPr>
            <w:tcW w:w="405" w:type="pct"/>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b/>
                <w:bCs/>
                <w:strike w:val="0"/>
                <w:dstrike w:val="0"/>
                <w:color w:val="auto"/>
                <w:sz w:val="18"/>
                <w:szCs w:val="18"/>
                <w:highlight w:val="none"/>
                <w:u w:val="none" w:color="auto"/>
                <w:shd w:val="clear" w:color="auto" w:fill="auto"/>
              </w:rPr>
            </w:pPr>
          </w:p>
        </w:tc>
        <w:tc>
          <w:tcPr>
            <w:tcW w:w="2363" w:type="pct"/>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val="0"/>
              <w:kinsoku/>
              <w:wordWrap/>
              <w:overflowPunct/>
              <w:topLinePunct w:val="0"/>
              <w:autoSpaceDE/>
              <w:autoSpaceDN/>
              <w:bidi w:val="0"/>
              <w:spacing w:line="240" w:lineRule="auto"/>
              <w:textAlignment w:val="auto"/>
              <w:rPr>
                <w:rFonts w:hint="eastAsia"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规模以上工业增加值</w:t>
            </w:r>
            <w:r>
              <w:rPr>
                <w:rFonts w:hint="eastAsia" w:ascii="仿宋_GB2312" w:eastAsia="仿宋_GB2312"/>
                <w:strike w:val="0"/>
                <w:dstrike w:val="0"/>
                <w:color w:val="auto"/>
                <w:sz w:val="18"/>
                <w:szCs w:val="18"/>
                <w:highlight w:val="none"/>
                <w:u w:val="none" w:color="auto"/>
                <w:shd w:val="clear" w:color="auto" w:fill="auto"/>
                <w:lang w:eastAsia="zh-CN"/>
              </w:rPr>
              <w:t>年均</w:t>
            </w:r>
            <w:r>
              <w:rPr>
                <w:rFonts w:hint="eastAsia" w:ascii="仿宋_GB2312" w:eastAsia="仿宋_GB2312"/>
                <w:strike w:val="0"/>
                <w:dstrike w:val="0"/>
                <w:color w:val="auto"/>
                <w:sz w:val="18"/>
                <w:szCs w:val="18"/>
                <w:highlight w:val="none"/>
                <w:u w:val="none" w:color="auto"/>
                <w:shd w:val="clear" w:color="auto" w:fill="auto"/>
                <w:lang w:val="en-US" w:eastAsia="zh-CN"/>
              </w:rPr>
              <w:t>增速</w:t>
            </w:r>
            <w:r>
              <w:rPr>
                <w:rFonts w:hint="eastAsia" w:ascii="仿宋_GB2312" w:eastAsia="仿宋_GB2312"/>
                <w:strike w:val="0"/>
                <w:dstrike w:val="0"/>
                <w:color w:val="auto"/>
                <w:sz w:val="18"/>
                <w:szCs w:val="18"/>
                <w:highlight w:val="none"/>
                <w:u w:val="none" w:color="auto"/>
                <w:shd w:val="clear" w:color="auto" w:fill="auto"/>
              </w:rPr>
              <w:t>（%）</w:t>
            </w:r>
          </w:p>
        </w:tc>
        <w:tc>
          <w:tcPr>
            <w:tcW w:w="1160"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eastAsia"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7</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eastAsia"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预期性</w:t>
            </w:r>
          </w:p>
        </w:tc>
      </w:tr>
      <w:tr>
        <w:tblPrEx>
          <w:tblCellMar>
            <w:top w:w="0" w:type="dxa"/>
            <w:left w:w="108" w:type="dxa"/>
            <w:bottom w:w="0" w:type="dxa"/>
            <w:right w:w="108" w:type="dxa"/>
          </w:tblCellMar>
        </w:tblPrEx>
        <w:trPr>
          <w:trHeight w:val="454" w:hRule="atLeast"/>
          <w:jc w:val="center"/>
        </w:trPr>
        <w:tc>
          <w:tcPr>
            <w:tcW w:w="362"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4</w:t>
            </w:r>
          </w:p>
        </w:tc>
        <w:tc>
          <w:tcPr>
            <w:tcW w:w="405" w:type="pct"/>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b/>
                <w:bCs/>
                <w:strike w:val="0"/>
                <w:dstrike w:val="0"/>
                <w:color w:val="auto"/>
                <w:sz w:val="18"/>
                <w:szCs w:val="18"/>
                <w:highlight w:val="none"/>
                <w:u w:val="none" w:color="auto"/>
                <w:shd w:val="clear" w:color="auto" w:fill="auto"/>
              </w:rPr>
            </w:pPr>
          </w:p>
        </w:tc>
        <w:tc>
          <w:tcPr>
            <w:tcW w:w="2363" w:type="pct"/>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val="0"/>
              <w:kinsoku/>
              <w:wordWrap/>
              <w:overflowPunct/>
              <w:topLinePunct w:val="0"/>
              <w:autoSpaceDE/>
              <w:autoSpaceDN/>
              <w:bidi w:val="0"/>
              <w:spacing w:line="240" w:lineRule="auto"/>
              <w:textAlignment w:val="auto"/>
              <w:rPr>
                <w:rFonts w:hint="eastAsia"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市场主体总数（万户）</w:t>
            </w:r>
          </w:p>
        </w:tc>
        <w:tc>
          <w:tcPr>
            <w:tcW w:w="1160"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9</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eastAsia"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预期性</w:t>
            </w:r>
          </w:p>
        </w:tc>
      </w:tr>
      <w:tr>
        <w:tblPrEx>
          <w:tblCellMar>
            <w:top w:w="0" w:type="dxa"/>
            <w:left w:w="108" w:type="dxa"/>
            <w:bottom w:w="0" w:type="dxa"/>
            <w:right w:w="108" w:type="dxa"/>
          </w:tblCellMar>
        </w:tblPrEx>
        <w:trPr>
          <w:trHeight w:val="454" w:hRule="atLeast"/>
          <w:jc w:val="center"/>
        </w:trPr>
        <w:tc>
          <w:tcPr>
            <w:tcW w:w="362"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5</w:t>
            </w:r>
          </w:p>
        </w:tc>
        <w:tc>
          <w:tcPr>
            <w:tcW w:w="405" w:type="pct"/>
            <w:vMerge w:val="restar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b/>
                <w:bCs/>
                <w:strike w:val="0"/>
                <w:dstrike w:val="0"/>
                <w:color w:val="auto"/>
                <w:sz w:val="18"/>
                <w:szCs w:val="18"/>
                <w:highlight w:val="none"/>
                <w:u w:val="none" w:color="auto"/>
                <w:shd w:val="clear" w:color="auto" w:fill="auto"/>
              </w:rPr>
            </w:pPr>
            <w:r>
              <w:rPr>
                <w:rFonts w:hint="eastAsia" w:ascii="仿宋_GB2312" w:eastAsia="仿宋_GB2312"/>
                <w:b/>
                <w:bCs/>
                <w:strike w:val="0"/>
                <w:dstrike w:val="0"/>
                <w:color w:val="auto"/>
                <w:sz w:val="18"/>
                <w:szCs w:val="18"/>
                <w:highlight w:val="none"/>
                <w:u w:val="none" w:color="auto"/>
                <w:shd w:val="clear" w:color="auto" w:fill="auto"/>
              </w:rPr>
              <w:t>创新驱动</w:t>
            </w:r>
          </w:p>
        </w:tc>
        <w:tc>
          <w:tcPr>
            <w:tcW w:w="2363" w:type="pct"/>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lang w:val="en-US" w:eastAsia="zh-CN"/>
              </w:rPr>
              <w:t>规上企业研发经费投入</w:t>
            </w:r>
            <w:r>
              <w:rPr>
                <w:rFonts w:hint="eastAsia" w:ascii="仿宋_GB2312" w:eastAsia="仿宋_GB2312"/>
                <w:strike w:val="0"/>
                <w:dstrike w:val="0"/>
                <w:color w:val="auto"/>
                <w:sz w:val="18"/>
                <w:szCs w:val="18"/>
                <w:highlight w:val="none"/>
                <w:u w:val="none" w:color="auto"/>
                <w:shd w:val="clear" w:color="auto" w:fill="auto"/>
                <w:lang w:eastAsia="zh-CN"/>
              </w:rPr>
              <w:t>年均</w:t>
            </w:r>
            <w:r>
              <w:rPr>
                <w:rFonts w:hint="eastAsia" w:ascii="仿宋_GB2312" w:eastAsia="仿宋_GB2312"/>
                <w:strike w:val="0"/>
                <w:dstrike w:val="0"/>
                <w:color w:val="auto"/>
                <w:sz w:val="18"/>
                <w:szCs w:val="18"/>
                <w:highlight w:val="none"/>
                <w:u w:val="none" w:color="auto"/>
                <w:shd w:val="clear" w:color="auto" w:fill="auto"/>
              </w:rPr>
              <w:t>增</w:t>
            </w:r>
            <w:r>
              <w:rPr>
                <w:rFonts w:hint="eastAsia" w:ascii="仿宋_GB2312" w:eastAsia="仿宋_GB2312"/>
                <w:strike w:val="0"/>
                <w:dstrike w:val="0"/>
                <w:color w:val="auto"/>
                <w:sz w:val="18"/>
                <w:szCs w:val="18"/>
                <w:highlight w:val="none"/>
                <w:u w:val="none" w:color="auto"/>
                <w:shd w:val="clear" w:color="auto" w:fill="auto"/>
                <w:lang w:eastAsia="zh-CN"/>
              </w:rPr>
              <w:t>速</w:t>
            </w:r>
            <w:r>
              <w:rPr>
                <w:rFonts w:hint="eastAsia" w:ascii="仿宋_GB2312" w:eastAsia="仿宋_GB2312"/>
                <w:strike w:val="0"/>
                <w:dstrike w:val="0"/>
                <w:color w:val="auto"/>
                <w:sz w:val="18"/>
                <w:szCs w:val="18"/>
                <w:highlight w:val="none"/>
                <w:u w:val="none" w:color="auto"/>
                <w:shd w:val="clear" w:color="auto" w:fill="auto"/>
              </w:rPr>
              <w:t>（%）</w:t>
            </w:r>
          </w:p>
        </w:tc>
        <w:tc>
          <w:tcPr>
            <w:tcW w:w="1160"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eastAsia" w:ascii="仿宋_GB2312" w:eastAsia="仿宋_GB2312"/>
                <w:strike w:val="0"/>
                <w:dstrike w:val="0"/>
                <w:color w:val="auto"/>
                <w:sz w:val="18"/>
                <w:szCs w:val="18"/>
                <w:highlight w:val="none"/>
                <w:u w:val="none" w:color="auto"/>
                <w:shd w:val="clear" w:color="auto" w:fill="auto"/>
                <w:lang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7</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预期性</w:t>
            </w:r>
          </w:p>
        </w:tc>
      </w:tr>
      <w:tr>
        <w:tblPrEx>
          <w:tblCellMar>
            <w:top w:w="0" w:type="dxa"/>
            <w:left w:w="108" w:type="dxa"/>
            <w:bottom w:w="0" w:type="dxa"/>
            <w:right w:w="108" w:type="dxa"/>
          </w:tblCellMar>
        </w:tblPrEx>
        <w:trPr>
          <w:trHeight w:val="454" w:hRule="atLeast"/>
          <w:jc w:val="center"/>
        </w:trPr>
        <w:tc>
          <w:tcPr>
            <w:tcW w:w="362"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6</w:t>
            </w:r>
          </w:p>
        </w:tc>
        <w:tc>
          <w:tcPr>
            <w:tcW w:w="405" w:type="pct"/>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b/>
                <w:bCs/>
                <w:strike w:val="0"/>
                <w:dstrike w:val="0"/>
                <w:color w:val="auto"/>
                <w:sz w:val="18"/>
                <w:szCs w:val="18"/>
                <w:highlight w:val="none"/>
                <w:u w:val="none" w:color="auto"/>
                <w:shd w:val="clear" w:color="auto" w:fill="auto"/>
              </w:rPr>
            </w:pPr>
          </w:p>
        </w:tc>
        <w:tc>
          <w:tcPr>
            <w:tcW w:w="2363" w:type="pct"/>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val="0"/>
              <w:kinsoku/>
              <w:wordWrap/>
              <w:overflowPunct/>
              <w:topLinePunct w:val="0"/>
              <w:autoSpaceDE/>
              <w:autoSpaceDN/>
              <w:bidi w:val="0"/>
              <w:spacing w:line="240" w:lineRule="auto"/>
              <w:textAlignment w:val="auto"/>
              <w:rPr>
                <w:rFonts w:hint="eastAsia"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技术合同成交额</w:t>
            </w:r>
            <w:r>
              <w:rPr>
                <w:rFonts w:hint="eastAsia" w:ascii="仿宋_GB2312" w:eastAsia="仿宋_GB2312"/>
                <w:strike w:val="0"/>
                <w:dstrike w:val="0"/>
                <w:color w:val="auto"/>
                <w:sz w:val="18"/>
                <w:szCs w:val="18"/>
                <w:highlight w:val="none"/>
                <w:u w:val="none" w:color="auto"/>
                <w:shd w:val="clear" w:color="auto" w:fill="auto"/>
                <w:lang w:eastAsia="zh-CN"/>
              </w:rPr>
              <w:t>年均</w:t>
            </w:r>
            <w:r>
              <w:rPr>
                <w:rFonts w:hint="eastAsia" w:ascii="仿宋_GB2312" w:eastAsia="仿宋_GB2312"/>
                <w:strike w:val="0"/>
                <w:dstrike w:val="0"/>
                <w:color w:val="auto"/>
                <w:sz w:val="18"/>
                <w:szCs w:val="18"/>
                <w:highlight w:val="none"/>
                <w:u w:val="none" w:color="auto"/>
                <w:shd w:val="clear" w:color="auto" w:fill="auto"/>
                <w:lang w:val="en-US" w:eastAsia="zh-CN"/>
              </w:rPr>
              <w:t>增速</w:t>
            </w:r>
            <w:r>
              <w:rPr>
                <w:rFonts w:hint="eastAsia" w:ascii="仿宋_GB2312" w:eastAsia="仿宋_GB2312"/>
                <w:strike w:val="0"/>
                <w:dstrike w:val="0"/>
                <w:color w:val="auto"/>
                <w:sz w:val="18"/>
                <w:szCs w:val="18"/>
                <w:highlight w:val="none"/>
                <w:u w:val="none" w:color="auto"/>
                <w:shd w:val="clear" w:color="auto" w:fill="auto"/>
              </w:rPr>
              <w:t>（%）</w:t>
            </w:r>
          </w:p>
        </w:tc>
        <w:tc>
          <w:tcPr>
            <w:tcW w:w="1160"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10</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eastAsia"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预期性</w:t>
            </w:r>
          </w:p>
        </w:tc>
      </w:tr>
      <w:tr>
        <w:tblPrEx>
          <w:tblCellMar>
            <w:top w:w="0" w:type="dxa"/>
            <w:left w:w="108" w:type="dxa"/>
            <w:bottom w:w="0" w:type="dxa"/>
            <w:right w:w="108" w:type="dxa"/>
          </w:tblCellMar>
        </w:tblPrEx>
        <w:trPr>
          <w:trHeight w:val="454" w:hRule="atLeast"/>
          <w:jc w:val="center"/>
        </w:trPr>
        <w:tc>
          <w:tcPr>
            <w:tcW w:w="362"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7</w:t>
            </w:r>
          </w:p>
        </w:tc>
        <w:tc>
          <w:tcPr>
            <w:tcW w:w="405" w:type="pct"/>
            <w:vMerge w:val="continue"/>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b/>
                <w:bCs/>
                <w:strike w:val="0"/>
                <w:dstrike w:val="0"/>
                <w:color w:val="auto"/>
                <w:sz w:val="18"/>
                <w:szCs w:val="18"/>
                <w:highlight w:val="none"/>
                <w:u w:val="none" w:color="auto"/>
                <w:shd w:val="clear" w:color="auto" w:fill="auto"/>
              </w:rPr>
            </w:pPr>
          </w:p>
        </w:tc>
        <w:tc>
          <w:tcPr>
            <w:tcW w:w="2363" w:type="pct"/>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val="0"/>
              <w:kinsoku/>
              <w:wordWrap/>
              <w:overflowPunct/>
              <w:topLinePunct w:val="0"/>
              <w:autoSpaceDE/>
              <w:autoSpaceDN/>
              <w:bidi w:val="0"/>
              <w:spacing w:line="240" w:lineRule="auto"/>
              <w:textAlignment w:val="auto"/>
              <w:rPr>
                <w:rFonts w:hint="eastAsia"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每万人口高价值发明专利拥有量</w:t>
            </w:r>
            <w:r>
              <w:rPr>
                <w:rFonts w:hint="eastAsia" w:ascii="仿宋_GB2312" w:eastAsia="仿宋_GB2312"/>
                <w:strike w:val="0"/>
                <w:dstrike w:val="0"/>
                <w:color w:val="auto"/>
                <w:sz w:val="18"/>
                <w:szCs w:val="18"/>
                <w:highlight w:val="none"/>
                <w:u w:val="none" w:color="auto"/>
                <w:shd w:val="clear" w:color="auto" w:fill="auto"/>
              </w:rPr>
              <w:t>（</w:t>
            </w:r>
            <w:r>
              <w:rPr>
                <w:rFonts w:hint="eastAsia" w:ascii="仿宋_GB2312" w:eastAsia="仿宋_GB2312"/>
                <w:strike w:val="0"/>
                <w:dstrike w:val="0"/>
                <w:color w:val="auto"/>
                <w:sz w:val="18"/>
                <w:szCs w:val="18"/>
                <w:highlight w:val="none"/>
                <w:u w:val="none" w:color="auto"/>
                <w:shd w:val="clear" w:color="auto" w:fill="auto"/>
                <w:lang w:val="en-US" w:eastAsia="zh-CN"/>
              </w:rPr>
              <w:t>件</w:t>
            </w:r>
            <w:r>
              <w:rPr>
                <w:rFonts w:hint="eastAsia" w:ascii="仿宋_GB2312" w:eastAsia="仿宋_GB2312"/>
                <w:strike w:val="0"/>
                <w:dstrike w:val="0"/>
                <w:color w:val="auto"/>
                <w:sz w:val="18"/>
                <w:szCs w:val="18"/>
                <w:highlight w:val="none"/>
                <w:u w:val="none" w:color="auto"/>
                <w:shd w:val="clear" w:color="auto" w:fill="auto"/>
              </w:rPr>
              <w:t>）</w:t>
            </w:r>
          </w:p>
        </w:tc>
        <w:tc>
          <w:tcPr>
            <w:tcW w:w="1160"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eastAsia"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lang w:val="en-US" w:eastAsia="zh-CN"/>
              </w:rPr>
              <w:t>1.32</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eastAsia"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预期性</w:t>
            </w:r>
          </w:p>
        </w:tc>
      </w:tr>
      <w:tr>
        <w:tblPrEx>
          <w:tblCellMar>
            <w:top w:w="0" w:type="dxa"/>
            <w:left w:w="108" w:type="dxa"/>
            <w:bottom w:w="0" w:type="dxa"/>
            <w:right w:w="108" w:type="dxa"/>
          </w:tblCellMar>
        </w:tblPrEx>
        <w:trPr>
          <w:trHeight w:val="454" w:hRule="atLeast"/>
          <w:jc w:val="center"/>
        </w:trPr>
        <w:tc>
          <w:tcPr>
            <w:tcW w:w="362"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8</w:t>
            </w:r>
          </w:p>
        </w:tc>
        <w:tc>
          <w:tcPr>
            <w:tcW w:w="405" w:type="pct"/>
            <w:vMerge w:val="restart"/>
            <w:tcBorders>
              <w:top w:val="single" w:color="000000" w:sz="4" w:space="0"/>
              <w:left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eastAsia" w:ascii="仿宋_GB2312" w:eastAsia="仿宋_GB2312"/>
                <w:b/>
                <w:bCs/>
                <w:strike w:val="0"/>
                <w:dstrike w:val="0"/>
                <w:color w:val="auto"/>
                <w:sz w:val="18"/>
                <w:szCs w:val="18"/>
                <w:highlight w:val="none"/>
                <w:u w:val="none" w:color="auto"/>
                <w:shd w:val="clear" w:color="auto" w:fill="auto"/>
                <w:lang w:val="en-US" w:eastAsia="zh-CN"/>
              </w:rPr>
            </w:pPr>
          </w:p>
          <w:p>
            <w:pPr>
              <w:pageBreakBefore w:val="0"/>
              <w:widowControl w:val="0"/>
              <w:kinsoku/>
              <w:wordWrap/>
              <w:overflowPunct/>
              <w:topLinePunct w:val="0"/>
              <w:autoSpaceDE/>
              <w:autoSpaceDN/>
              <w:bidi w:val="0"/>
              <w:spacing w:line="240" w:lineRule="auto"/>
              <w:jc w:val="center"/>
              <w:textAlignment w:val="auto"/>
              <w:rPr>
                <w:rFonts w:hint="eastAsia" w:ascii="仿宋_GB2312" w:eastAsia="仿宋_GB2312"/>
                <w:b/>
                <w:bCs/>
                <w:strike w:val="0"/>
                <w:dstrike w:val="0"/>
                <w:color w:val="auto"/>
                <w:sz w:val="18"/>
                <w:szCs w:val="18"/>
                <w:highlight w:val="none"/>
                <w:u w:val="none" w:color="auto"/>
                <w:shd w:val="clear" w:color="auto" w:fill="auto"/>
                <w:lang w:val="en-US" w:eastAsia="zh-CN"/>
              </w:rPr>
            </w:pPr>
          </w:p>
          <w:p>
            <w:pPr>
              <w:pageBreakBefore w:val="0"/>
              <w:widowControl w:val="0"/>
              <w:kinsoku/>
              <w:wordWrap/>
              <w:overflowPunct/>
              <w:topLinePunct w:val="0"/>
              <w:autoSpaceDE/>
              <w:autoSpaceDN/>
              <w:bidi w:val="0"/>
              <w:spacing w:line="240" w:lineRule="auto"/>
              <w:jc w:val="center"/>
              <w:textAlignment w:val="auto"/>
              <w:rPr>
                <w:rFonts w:hint="eastAsia" w:ascii="仿宋_GB2312" w:eastAsia="仿宋_GB2312"/>
                <w:b/>
                <w:bCs/>
                <w:strike w:val="0"/>
                <w:dstrike w:val="0"/>
                <w:color w:val="auto"/>
                <w:sz w:val="18"/>
                <w:szCs w:val="18"/>
                <w:highlight w:val="none"/>
                <w:u w:val="none" w:color="auto"/>
                <w:shd w:val="clear" w:color="auto" w:fill="auto"/>
                <w:lang w:val="en-US" w:eastAsia="zh-CN"/>
              </w:rPr>
            </w:pPr>
            <w:r>
              <w:rPr>
                <w:rFonts w:hint="eastAsia" w:ascii="仿宋_GB2312" w:eastAsia="仿宋_GB2312"/>
                <w:b/>
                <w:bCs/>
                <w:strike w:val="0"/>
                <w:dstrike w:val="0"/>
                <w:color w:val="auto"/>
                <w:sz w:val="18"/>
                <w:szCs w:val="18"/>
                <w:highlight w:val="none"/>
                <w:u w:val="none" w:color="auto"/>
                <w:shd w:val="clear" w:color="auto" w:fill="auto"/>
                <w:lang w:val="en-US" w:eastAsia="zh-CN"/>
              </w:rPr>
              <w:t>民生福祉</w:t>
            </w:r>
          </w:p>
          <w:p>
            <w:pPr>
              <w:pageBreakBefore w:val="0"/>
              <w:widowControl w:val="0"/>
              <w:kinsoku/>
              <w:wordWrap/>
              <w:overflowPunct/>
              <w:topLinePunct w:val="0"/>
              <w:autoSpaceDE/>
              <w:autoSpaceDN/>
              <w:bidi w:val="0"/>
              <w:spacing w:line="240" w:lineRule="auto"/>
              <w:jc w:val="center"/>
              <w:textAlignment w:val="auto"/>
              <w:rPr>
                <w:rFonts w:hint="eastAsia" w:ascii="仿宋_GB2312" w:eastAsia="仿宋_GB2312"/>
                <w:b/>
                <w:bCs/>
                <w:strike w:val="0"/>
                <w:dstrike w:val="0"/>
                <w:color w:val="auto"/>
                <w:sz w:val="18"/>
                <w:szCs w:val="18"/>
                <w:highlight w:val="none"/>
                <w:u w:val="none" w:color="auto"/>
                <w:shd w:val="clear" w:color="auto" w:fill="auto"/>
                <w:lang w:val="en-US" w:eastAsia="zh-CN"/>
              </w:rPr>
            </w:pPr>
          </w:p>
          <w:p>
            <w:pPr>
              <w:pageBreakBefore w:val="0"/>
              <w:widowControl w:val="0"/>
              <w:kinsoku/>
              <w:wordWrap/>
              <w:overflowPunct/>
              <w:topLinePunct w:val="0"/>
              <w:autoSpaceDE/>
              <w:autoSpaceDN/>
              <w:bidi w:val="0"/>
              <w:spacing w:line="240" w:lineRule="auto"/>
              <w:jc w:val="center"/>
              <w:textAlignment w:val="auto"/>
              <w:rPr>
                <w:rFonts w:hint="eastAsia" w:ascii="仿宋_GB2312" w:eastAsia="仿宋_GB2312"/>
                <w:b/>
                <w:bCs/>
                <w:strike w:val="0"/>
                <w:dstrike w:val="0"/>
                <w:color w:val="auto"/>
                <w:sz w:val="18"/>
                <w:szCs w:val="18"/>
                <w:highlight w:val="none"/>
                <w:u w:val="none" w:color="auto"/>
                <w:shd w:val="clear" w:color="auto" w:fill="auto"/>
                <w:lang w:val="en-US" w:eastAsia="zh-CN"/>
              </w:rPr>
            </w:pPr>
          </w:p>
          <w:p>
            <w:pPr>
              <w:pageBreakBefore w:val="0"/>
              <w:widowControl w:val="0"/>
              <w:kinsoku/>
              <w:wordWrap/>
              <w:overflowPunct/>
              <w:topLinePunct w:val="0"/>
              <w:autoSpaceDE/>
              <w:autoSpaceDN/>
              <w:bidi w:val="0"/>
              <w:spacing w:line="240" w:lineRule="auto"/>
              <w:jc w:val="center"/>
              <w:textAlignment w:val="auto"/>
              <w:rPr>
                <w:rFonts w:hint="eastAsia" w:ascii="仿宋_GB2312" w:eastAsia="仿宋_GB2312"/>
                <w:b/>
                <w:bCs/>
                <w:strike w:val="0"/>
                <w:dstrike w:val="0"/>
                <w:color w:val="auto"/>
                <w:sz w:val="18"/>
                <w:szCs w:val="18"/>
                <w:highlight w:val="none"/>
                <w:u w:val="none" w:color="auto"/>
                <w:shd w:val="clear" w:color="auto" w:fill="auto"/>
                <w:lang w:val="en-US" w:eastAsia="zh-CN"/>
              </w:rPr>
            </w:pPr>
          </w:p>
          <w:p>
            <w:pPr>
              <w:pageBreakBefore w:val="0"/>
              <w:widowControl w:val="0"/>
              <w:kinsoku/>
              <w:wordWrap/>
              <w:overflowPunct/>
              <w:topLinePunct w:val="0"/>
              <w:autoSpaceDE/>
              <w:autoSpaceDN/>
              <w:bidi w:val="0"/>
              <w:spacing w:line="240" w:lineRule="auto"/>
              <w:jc w:val="center"/>
              <w:textAlignment w:val="auto"/>
              <w:rPr>
                <w:rFonts w:hint="eastAsia" w:ascii="仿宋_GB2312" w:eastAsia="仿宋_GB2312"/>
                <w:b/>
                <w:bCs/>
                <w:strike w:val="0"/>
                <w:dstrike w:val="0"/>
                <w:color w:val="auto"/>
                <w:sz w:val="18"/>
                <w:szCs w:val="18"/>
                <w:highlight w:val="none"/>
                <w:u w:val="none" w:color="auto"/>
                <w:shd w:val="clear" w:color="auto" w:fill="auto"/>
                <w:lang w:val="en-US" w:eastAsia="zh-CN"/>
              </w:rPr>
            </w:pPr>
          </w:p>
          <w:p>
            <w:pPr>
              <w:pageBreakBefore w:val="0"/>
              <w:widowControl w:val="0"/>
              <w:kinsoku/>
              <w:wordWrap/>
              <w:overflowPunct/>
              <w:topLinePunct w:val="0"/>
              <w:autoSpaceDE/>
              <w:autoSpaceDN/>
              <w:bidi w:val="0"/>
              <w:spacing w:line="240" w:lineRule="auto"/>
              <w:jc w:val="center"/>
              <w:textAlignment w:val="auto"/>
              <w:rPr>
                <w:rFonts w:hint="eastAsia" w:ascii="仿宋_GB2312" w:eastAsia="仿宋_GB2312"/>
                <w:b/>
                <w:bCs/>
                <w:strike w:val="0"/>
                <w:dstrike w:val="0"/>
                <w:color w:val="auto"/>
                <w:sz w:val="18"/>
                <w:szCs w:val="18"/>
                <w:highlight w:val="none"/>
                <w:u w:val="none" w:color="auto"/>
                <w:shd w:val="clear" w:color="auto" w:fill="auto"/>
                <w:lang w:val="en-US" w:eastAsia="zh-CN"/>
              </w:rPr>
            </w:pPr>
          </w:p>
        </w:tc>
        <w:tc>
          <w:tcPr>
            <w:tcW w:w="2363" w:type="pct"/>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val="0"/>
              <w:kinsoku/>
              <w:wordWrap/>
              <w:overflowPunct/>
              <w:topLinePunct w:val="0"/>
              <w:autoSpaceDE/>
              <w:autoSpaceDN/>
              <w:bidi w:val="0"/>
              <w:spacing w:line="240" w:lineRule="auto"/>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eastAsia="zh-CN"/>
              </w:rPr>
              <w:t>“一次不用跑”政务服务事项占比（</w:t>
            </w:r>
            <w:r>
              <w:rPr>
                <w:rFonts w:hint="eastAsia" w:ascii="仿宋_GB2312" w:eastAsia="仿宋_GB2312"/>
                <w:strike w:val="0"/>
                <w:dstrike w:val="0"/>
                <w:color w:val="auto"/>
                <w:sz w:val="18"/>
                <w:szCs w:val="18"/>
                <w:highlight w:val="none"/>
                <w:u w:val="none" w:color="auto"/>
                <w:shd w:val="clear" w:color="auto" w:fill="auto"/>
                <w:lang w:val="en-US" w:eastAsia="zh-CN"/>
              </w:rPr>
              <w:t>%）</w:t>
            </w:r>
          </w:p>
        </w:tc>
        <w:tc>
          <w:tcPr>
            <w:tcW w:w="1160"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hAnsi="仿宋_GB2312" w:eastAsia="仿宋_GB2312" w:cs="仿宋_GB2312"/>
                <w:strike w:val="0"/>
                <w:dstrike w:val="0"/>
                <w:color w:val="auto"/>
                <w:sz w:val="18"/>
                <w:szCs w:val="18"/>
                <w:highlight w:val="none"/>
                <w:u w:val="none" w:color="auto"/>
                <w:lang w:val="en-US" w:eastAsia="zh-CN"/>
              </w:rPr>
            </w:pPr>
            <w:r>
              <w:rPr>
                <w:rFonts w:hint="eastAsia" w:ascii="仿宋_GB2312" w:hAnsi="仿宋_GB2312" w:eastAsia="仿宋_GB2312" w:cs="仿宋_GB2312"/>
                <w:strike w:val="0"/>
                <w:dstrike w:val="0"/>
                <w:color w:val="auto"/>
                <w:sz w:val="18"/>
                <w:szCs w:val="18"/>
                <w:highlight w:val="none"/>
                <w:u w:val="none" w:color="auto"/>
                <w:lang w:val="en-US" w:eastAsia="zh-CN"/>
              </w:rPr>
              <w:t>60</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eastAsia"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预期性</w:t>
            </w:r>
          </w:p>
        </w:tc>
      </w:tr>
      <w:tr>
        <w:tblPrEx>
          <w:tblCellMar>
            <w:top w:w="0" w:type="dxa"/>
            <w:left w:w="108" w:type="dxa"/>
            <w:bottom w:w="0" w:type="dxa"/>
            <w:right w:w="108" w:type="dxa"/>
          </w:tblCellMar>
        </w:tblPrEx>
        <w:trPr>
          <w:trHeight w:val="454" w:hRule="atLeast"/>
          <w:jc w:val="center"/>
        </w:trPr>
        <w:tc>
          <w:tcPr>
            <w:tcW w:w="362"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9</w:t>
            </w:r>
          </w:p>
        </w:tc>
        <w:tc>
          <w:tcPr>
            <w:tcW w:w="405" w:type="pct"/>
            <w:vMerge w:val="continue"/>
            <w:tcBorders>
              <w:left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eastAsia" w:ascii="仿宋_GB2312" w:eastAsia="仿宋_GB2312"/>
                <w:b/>
                <w:bCs/>
                <w:strike w:val="0"/>
                <w:dstrike w:val="0"/>
                <w:color w:val="auto"/>
                <w:sz w:val="18"/>
                <w:szCs w:val="18"/>
                <w:highlight w:val="none"/>
                <w:u w:val="none" w:color="auto"/>
                <w:shd w:val="clear" w:color="auto" w:fill="auto"/>
                <w:lang w:val="en-US" w:eastAsia="zh-CN"/>
              </w:rPr>
            </w:pPr>
          </w:p>
        </w:tc>
        <w:tc>
          <w:tcPr>
            <w:tcW w:w="2363" w:type="pct"/>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lang w:eastAsia="zh-CN"/>
              </w:rPr>
              <w:t>城乡</w:t>
            </w:r>
            <w:r>
              <w:rPr>
                <w:rFonts w:hint="eastAsia" w:ascii="仿宋_GB2312" w:eastAsia="仿宋_GB2312"/>
                <w:strike w:val="0"/>
                <w:dstrike w:val="0"/>
                <w:color w:val="auto"/>
                <w:sz w:val="18"/>
                <w:szCs w:val="18"/>
                <w:highlight w:val="none"/>
                <w:u w:val="none" w:color="auto"/>
                <w:shd w:val="clear" w:color="auto" w:fill="auto"/>
              </w:rPr>
              <w:t>居民人均可支配收入</w:t>
            </w:r>
            <w:r>
              <w:rPr>
                <w:rFonts w:hint="eastAsia" w:ascii="仿宋_GB2312" w:eastAsia="仿宋_GB2312"/>
                <w:strike w:val="0"/>
                <w:dstrike w:val="0"/>
                <w:color w:val="auto"/>
                <w:sz w:val="18"/>
                <w:szCs w:val="18"/>
                <w:highlight w:val="none"/>
                <w:u w:val="none" w:color="auto"/>
                <w:shd w:val="clear" w:color="auto" w:fill="auto"/>
                <w:lang w:eastAsia="zh-CN"/>
              </w:rPr>
              <w:t>年均</w:t>
            </w:r>
            <w:r>
              <w:rPr>
                <w:rFonts w:hint="eastAsia" w:ascii="仿宋_GB2312" w:eastAsia="仿宋_GB2312"/>
                <w:strike w:val="0"/>
                <w:dstrike w:val="0"/>
                <w:color w:val="auto"/>
                <w:sz w:val="18"/>
                <w:szCs w:val="18"/>
                <w:highlight w:val="none"/>
                <w:u w:val="none" w:color="auto"/>
                <w:shd w:val="clear" w:color="auto" w:fill="auto"/>
              </w:rPr>
              <w:t>增</w:t>
            </w:r>
            <w:r>
              <w:rPr>
                <w:rFonts w:hint="eastAsia" w:ascii="仿宋_GB2312" w:eastAsia="仿宋_GB2312"/>
                <w:strike w:val="0"/>
                <w:dstrike w:val="0"/>
                <w:color w:val="auto"/>
                <w:sz w:val="18"/>
                <w:szCs w:val="18"/>
                <w:highlight w:val="none"/>
                <w:u w:val="none" w:color="auto"/>
                <w:shd w:val="clear" w:color="auto" w:fill="auto"/>
                <w:lang w:eastAsia="zh-CN"/>
              </w:rPr>
              <w:t>速</w:t>
            </w:r>
            <w:r>
              <w:rPr>
                <w:rFonts w:hint="eastAsia" w:ascii="仿宋_GB2312" w:eastAsia="仿宋_GB2312"/>
                <w:strike w:val="0"/>
                <w:dstrike w:val="0"/>
                <w:color w:val="auto"/>
                <w:sz w:val="18"/>
                <w:szCs w:val="18"/>
                <w:highlight w:val="none"/>
                <w:u w:val="none" w:color="auto"/>
                <w:shd w:val="clear" w:color="auto" w:fill="auto"/>
              </w:rPr>
              <w:t>（%）</w:t>
            </w:r>
          </w:p>
        </w:tc>
        <w:tc>
          <w:tcPr>
            <w:tcW w:w="1160"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eastAsia" w:ascii="仿宋_GB2312" w:hAnsi="仿宋_GB2312" w:eastAsia="仿宋_GB2312" w:cs="仿宋_GB2312"/>
                <w:strike w:val="0"/>
                <w:dstrike w:val="0"/>
                <w:color w:val="auto"/>
                <w:sz w:val="18"/>
                <w:szCs w:val="18"/>
                <w:highlight w:val="none"/>
                <w:u w:val="none" w:color="auto"/>
                <w:shd w:val="clear" w:color="auto" w:fill="auto"/>
              </w:rPr>
            </w:pPr>
            <w:r>
              <w:rPr>
                <w:rFonts w:hint="eastAsia" w:ascii="仿宋_GB2312" w:hAnsi="仿宋_GB2312" w:eastAsia="仿宋_GB2312" w:cs="仿宋_GB2312"/>
                <w:strike w:val="0"/>
                <w:dstrike w:val="0"/>
                <w:color w:val="auto"/>
                <w:sz w:val="18"/>
                <w:szCs w:val="18"/>
                <w:highlight w:val="none"/>
                <w:u w:val="none" w:color="auto"/>
              </w:rPr>
              <w:t>与</w:t>
            </w:r>
            <w:r>
              <w:rPr>
                <w:rFonts w:hint="eastAsia" w:ascii="仿宋_GB2312" w:hAnsi="仿宋_GB2312" w:eastAsia="仿宋_GB2312" w:cs="仿宋_GB2312"/>
                <w:strike w:val="0"/>
                <w:dstrike w:val="0"/>
                <w:color w:val="auto"/>
                <w:sz w:val="18"/>
                <w:szCs w:val="18"/>
                <w:highlight w:val="none"/>
                <w:u w:val="none" w:color="auto"/>
                <w:lang w:val="en-US" w:eastAsia="zh-CN"/>
              </w:rPr>
              <w:t>GDP</w:t>
            </w:r>
            <w:r>
              <w:rPr>
                <w:rFonts w:hint="eastAsia" w:ascii="仿宋_GB2312" w:hAnsi="仿宋_GB2312" w:eastAsia="仿宋_GB2312" w:cs="仿宋_GB2312"/>
                <w:strike w:val="0"/>
                <w:dstrike w:val="0"/>
                <w:color w:val="auto"/>
                <w:sz w:val="18"/>
                <w:szCs w:val="18"/>
                <w:highlight w:val="none"/>
                <w:u w:val="none" w:color="auto"/>
              </w:rPr>
              <w:t>增长保持同步</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预期性</w:t>
            </w:r>
          </w:p>
        </w:tc>
      </w:tr>
      <w:tr>
        <w:tblPrEx>
          <w:tblCellMar>
            <w:top w:w="0" w:type="dxa"/>
            <w:left w:w="108" w:type="dxa"/>
            <w:bottom w:w="0" w:type="dxa"/>
            <w:right w:w="108" w:type="dxa"/>
          </w:tblCellMar>
        </w:tblPrEx>
        <w:trPr>
          <w:trHeight w:val="454" w:hRule="atLeast"/>
          <w:jc w:val="center"/>
        </w:trPr>
        <w:tc>
          <w:tcPr>
            <w:tcW w:w="362"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10</w:t>
            </w:r>
          </w:p>
        </w:tc>
        <w:tc>
          <w:tcPr>
            <w:tcW w:w="405" w:type="pct"/>
            <w:vMerge w:val="continue"/>
            <w:tcBorders>
              <w:left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b/>
                <w:bCs/>
                <w:strike w:val="0"/>
                <w:dstrike w:val="0"/>
                <w:color w:val="auto"/>
                <w:sz w:val="18"/>
                <w:szCs w:val="18"/>
                <w:highlight w:val="none"/>
                <w:u w:val="none" w:color="auto"/>
                <w:shd w:val="clear" w:color="auto" w:fill="auto"/>
              </w:rPr>
            </w:pPr>
          </w:p>
        </w:tc>
        <w:tc>
          <w:tcPr>
            <w:tcW w:w="2363" w:type="pct"/>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val="0"/>
              <w:kinsoku/>
              <w:wordWrap/>
              <w:overflowPunct/>
              <w:topLinePunct w:val="0"/>
              <w:autoSpaceDE/>
              <w:autoSpaceDN/>
              <w:bidi w:val="0"/>
              <w:spacing w:line="240" w:lineRule="auto"/>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城镇新增就业人数（万人）</w:t>
            </w:r>
          </w:p>
        </w:tc>
        <w:tc>
          <w:tcPr>
            <w:tcW w:w="1160"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eastAsia" w:ascii="仿宋_GB2312" w:eastAsia="仿宋_GB2312"/>
                <w:strike w:val="0"/>
                <w:dstrike w:val="0"/>
                <w:color w:val="auto"/>
                <w:sz w:val="18"/>
                <w:szCs w:val="18"/>
                <w:highlight w:val="none"/>
                <w:u w:val="none" w:color="auto"/>
                <w:shd w:val="clear" w:color="auto" w:fill="auto"/>
                <w:lang w:eastAsia="zh-CN"/>
              </w:rPr>
            </w:pPr>
            <w:r>
              <w:rPr>
                <w:rFonts w:hint="default" w:ascii="仿宋_GB2312" w:eastAsia="仿宋_GB2312"/>
                <w:strike w:val="0"/>
                <w:dstrike w:val="0"/>
                <w:color w:val="auto"/>
                <w:sz w:val="18"/>
                <w:szCs w:val="18"/>
                <w:highlight w:val="none"/>
                <w:u w:val="none" w:color="auto"/>
                <w:shd w:val="clear" w:color="auto" w:fill="auto"/>
              </w:rPr>
              <w:t>[4]</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预期性</w:t>
            </w:r>
          </w:p>
        </w:tc>
      </w:tr>
      <w:tr>
        <w:tblPrEx>
          <w:tblCellMar>
            <w:top w:w="0" w:type="dxa"/>
            <w:left w:w="108" w:type="dxa"/>
            <w:bottom w:w="0" w:type="dxa"/>
            <w:right w:w="108" w:type="dxa"/>
          </w:tblCellMar>
        </w:tblPrEx>
        <w:trPr>
          <w:trHeight w:val="454" w:hRule="atLeast"/>
          <w:jc w:val="center"/>
        </w:trPr>
        <w:tc>
          <w:tcPr>
            <w:tcW w:w="362"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11</w:t>
            </w:r>
          </w:p>
        </w:tc>
        <w:tc>
          <w:tcPr>
            <w:tcW w:w="405" w:type="pct"/>
            <w:vMerge w:val="continue"/>
            <w:tcBorders>
              <w:left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b/>
                <w:bCs/>
                <w:strike w:val="0"/>
                <w:dstrike w:val="0"/>
                <w:color w:val="auto"/>
                <w:sz w:val="18"/>
                <w:szCs w:val="18"/>
                <w:highlight w:val="none"/>
                <w:u w:val="none" w:color="auto"/>
                <w:shd w:val="clear" w:color="auto" w:fill="auto"/>
              </w:rPr>
            </w:pPr>
          </w:p>
        </w:tc>
        <w:tc>
          <w:tcPr>
            <w:tcW w:w="2363" w:type="pct"/>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val="0"/>
              <w:kinsoku/>
              <w:wordWrap/>
              <w:overflowPunct/>
              <w:topLinePunct w:val="0"/>
              <w:autoSpaceDE/>
              <w:autoSpaceDN/>
              <w:bidi w:val="0"/>
              <w:spacing w:line="240" w:lineRule="auto"/>
              <w:textAlignment w:val="auto"/>
              <w:rPr>
                <w:rFonts w:hint="eastAsia"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全市养老保险覆盖人数（万人）</w:t>
            </w:r>
          </w:p>
        </w:tc>
        <w:tc>
          <w:tcPr>
            <w:tcW w:w="1160"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65</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预期性</w:t>
            </w:r>
          </w:p>
        </w:tc>
      </w:tr>
      <w:tr>
        <w:tblPrEx>
          <w:tblCellMar>
            <w:top w:w="0" w:type="dxa"/>
            <w:left w:w="108" w:type="dxa"/>
            <w:bottom w:w="0" w:type="dxa"/>
            <w:right w:w="108" w:type="dxa"/>
          </w:tblCellMar>
        </w:tblPrEx>
        <w:trPr>
          <w:trHeight w:val="454" w:hRule="atLeast"/>
          <w:jc w:val="center"/>
        </w:trPr>
        <w:tc>
          <w:tcPr>
            <w:tcW w:w="362"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12</w:t>
            </w:r>
          </w:p>
        </w:tc>
        <w:tc>
          <w:tcPr>
            <w:tcW w:w="405" w:type="pct"/>
            <w:vMerge w:val="continue"/>
            <w:tcBorders>
              <w:left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b/>
                <w:bCs/>
                <w:strike w:val="0"/>
                <w:dstrike w:val="0"/>
                <w:color w:val="auto"/>
                <w:sz w:val="18"/>
                <w:szCs w:val="18"/>
                <w:highlight w:val="none"/>
                <w:u w:val="none" w:color="auto"/>
                <w:shd w:val="clear" w:color="auto" w:fill="auto"/>
              </w:rPr>
            </w:pPr>
          </w:p>
        </w:tc>
        <w:tc>
          <w:tcPr>
            <w:tcW w:w="2363" w:type="pct"/>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val="0"/>
              <w:kinsoku/>
              <w:wordWrap/>
              <w:overflowPunct/>
              <w:topLinePunct w:val="0"/>
              <w:autoSpaceDE/>
              <w:autoSpaceDN/>
              <w:bidi w:val="0"/>
              <w:spacing w:line="240" w:lineRule="auto"/>
              <w:textAlignment w:val="auto"/>
              <w:rPr>
                <w:rFonts w:hint="eastAsia" w:ascii="仿宋_GB2312" w:eastAsia="仿宋_GB2312"/>
                <w:strike w:val="0"/>
                <w:dstrike w:val="0"/>
                <w:color w:val="auto"/>
                <w:sz w:val="18"/>
                <w:szCs w:val="18"/>
                <w:highlight w:val="none"/>
                <w:u w:val="none" w:color="auto"/>
                <w:shd w:val="clear" w:color="auto" w:fill="auto"/>
                <w:lang w:eastAsia="zh-CN"/>
              </w:rPr>
            </w:pPr>
            <w:r>
              <w:rPr>
                <w:rFonts w:hint="eastAsia" w:ascii="仿宋_GB2312" w:eastAsia="仿宋_GB2312"/>
                <w:strike w:val="0"/>
                <w:dstrike w:val="0"/>
                <w:color w:val="auto"/>
                <w:sz w:val="18"/>
                <w:szCs w:val="18"/>
                <w:highlight w:val="none"/>
                <w:u w:val="none" w:color="auto"/>
                <w:shd w:val="clear" w:color="auto" w:fill="auto"/>
                <w:lang w:eastAsia="zh-CN"/>
              </w:rPr>
              <w:t>普惠性幼儿园覆盖率（</w:t>
            </w:r>
            <w:r>
              <w:rPr>
                <w:rFonts w:hint="eastAsia" w:ascii="仿宋_GB2312" w:eastAsia="仿宋_GB2312"/>
                <w:strike w:val="0"/>
                <w:dstrike w:val="0"/>
                <w:color w:val="auto"/>
                <w:sz w:val="18"/>
                <w:szCs w:val="18"/>
                <w:highlight w:val="none"/>
                <w:u w:val="none" w:color="auto"/>
                <w:shd w:val="clear" w:color="auto" w:fill="auto"/>
                <w:lang w:val="en-US" w:eastAsia="zh-CN"/>
              </w:rPr>
              <w:t>%</w:t>
            </w:r>
            <w:r>
              <w:rPr>
                <w:rFonts w:hint="eastAsia" w:ascii="仿宋_GB2312" w:eastAsia="仿宋_GB2312"/>
                <w:strike w:val="0"/>
                <w:dstrike w:val="0"/>
                <w:color w:val="auto"/>
                <w:sz w:val="18"/>
                <w:szCs w:val="18"/>
                <w:highlight w:val="none"/>
                <w:u w:val="none" w:color="auto"/>
                <w:shd w:val="clear" w:color="auto" w:fill="auto"/>
                <w:lang w:eastAsia="zh-CN"/>
              </w:rPr>
              <w:t>）</w:t>
            </w:r>
          </w:p>
        </w:tc>
        <w:tc>
          <w:tcPr>
            <w:tcW w:w="1160"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90</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eastAsia" w:ascii="仿宋_GB2312" w:hAnsi="Calibri" w:eastAsia="仿宋_GB2312" w:cs="Times New Roman"/>
                <w:strike w:val="0"/>
                <w:dstrike w:val="0"/>
                <w:color w:val="auto"/>
                <w:kern w:val="2"/>
                <w:sz w:val="18"/>
                <w:szCs w:val="18"/>
                <w:highlight w:val="none"/>
                <w:u w:val="none" w:color="auto"/>
                <w:shd w:val="clear" w:color="auto" w:fill="auto"/>
                <w:lang w:val="en-US" w:eastAsia="zh-CN" w:bidi="ar-SA"/>
              </w:rPr>
            </w:pPr>
            <w:r>
              <w:rPr>
                <w:rFonts w:hint="eastAsia" w:ascii="仿宋_GB2312" w:eastAsia="仿宋_GB2312"/>
                <w:strike w:val="0"/>
                <w:dstrike w:val="0"/>
                <w:color w:val="auto"/>
                <w:sz w:val="18"/>
                <w:szCs w:val="18"/>
                <w:highlight w:val="none"/>
                <w:u w:val="none" w:color="auto"/>
                <w:shd w:val="clear" w:color="auto" w:fill="auto"/>
                <w:lang w:val="en-US" w:eastAsia="zh-CN"/>
              </w:rPr>
              <w:t>预期性</w:t>
            </w:r>
          </w:p>
        </w:tc>
      </w:tr>
      <w:tr>
        <w:tblPrEx>
          <w:tblCellMar>
            <w:top w:w="0" w:type="dxa"/>
            <w:left w:w="108" w:type="dxa"/>
            <w:bottom w:w="0" w:type="dxa"/>
            <w:right w:w="108" w:type="dxa"/>
          </w:tblCellMar>
        </w:tblPrEx>
        <w:trPr>
          <w:trHeight w:val="454" w:hRule="atLeast"/>
          <w:jc w:val="center"/>
        </w:trPr>
        <w:tc>
          <w:tcPr>
            <w:tcW w:w="362"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13</w:t>
            </w:r>
          </w:p>
        </w:tc>
        <w:tc>
          <w:tcPr>
            <w:tcW w:w="405" w:type="pct"/>
            <w:vMerge w:val="continue"/>
            <w:tcBorders>
              <w:left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b/>
                <w:bCs/>
                <w:strike w:val="0"/>
                <w:dstrike w:val="0"/>
                <w:color w:val="auto"/>
                <w:sz w:val="18"/>
                <w:szCs w:val="18"/>
                <w:highlight w:val="none"/>
                <w:u w:val="none" w:color="auto"/>
                <w:shd w:val="clear" w:color="auto" w:fill="auto"/>
              </w:rPr>
            </w:pPr>
          </w:p>
        </w:tc>
        <w:tc>
          <w:tcPr>
            <w:tcW w:w="2363" w:type="pct"/>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每千人口拥有执业（助理）医师数（名）</w:t>
            </w:r>
          </w:p>
        </w:tc>
        <w:tc>
          <w:tcPr>
            <w:tcW w:w="1160"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eastAsia"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lang w:val="en-US" w:eastAsia="zh-CN"/>
              </w:rPr>
              <w:t>3.2</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预期性</w:t>
            </w:r>
          </w:p>
        </w:tc>
      </w:tr>
      <w:tr>
        <w:tblPrEx>
          <w:tblCellMar>
            <w:top w:w="0" w:type="dxa"/>
            <w:left w:w="108" w:type="dxa"/>
            <w:bottom w:w="0" w:type="dxa"/>
            <w:right w:w="108" w:type="dxa"/>
          </w:tblCellMar>
        </w:tblPrEx>
        <w:trPr>
          <w:trHeight w:val="454" w:hRule="atLeast"/>
          <w:jc w:val="center"/>
        </w:trPr>
        <w:tc>
          <w:tcPr>
            <w:tcW w:w="362"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14</w:t>
            </w:r>
          </w:p>
        </w:tc>
        <w:tc>
          <w:tcPr>
            <w:tcW w:w="405" w:type="pct"/>
            <w:vMerge w:val="continue"/>
            <w:tcBorders>
              <w:left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b/>
                <w:bCs/>
                <w:strike w:val="0"/>
                <w:dstrike w:val="0"/>
                <w:color w:val="auto"/>
                <w:sz w:val="18"/>
                <w:szCs w:val="18"/>
                <w:highlight w:val="none"/>
                <w:u w:val="none" w:color="auto"/>
                <w:shd w:val="clear" w:color="auto" w:fill="auto"/>
              </w:rPr>
            </w:pPr>
          </w:p>
        </w:tc>
        <w:tc>
          <w:tcPr>
            <w:tcW w:w="2363" w:type="pct"/>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val="0"/>
              <w:kinsoku/>
              <w:wordWrap/>
              <w:overflowPunct/>
              <w:topLinePunct w:val="0"/>
              <w:autoSpaceDE/>
              <w:autoSpaceDN/>
              <w:bidi w:val="0"/>
              <w:spacing w:line="240" w:lineRule="auto"/>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养老机构护理型床位占比（%）</w:t>
            </w:r>
          </w:p>
        </w:tc>
        <w:tc>
          <w:tcPr>
            <w:tcW w:w="1160"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hAnsi="Calibri" w:eastAsia="仿宋_GB2312" w:cs="Times New Roman"/>
                <w:strike w:val="0"/>
                <w:dstrike w:val="0"/>
                <w:color w:val="auto"/>
                <w:kern w:val="2"/>
                <w:sz w:val="18"/>
                <w:szCs w:val="18"/>
                <w:highlight w:val="none"/>
                <w:u w:val="none" w:color="auto"/>
                <w:shd w:val="clear" w:color="auto" w:fill="auto"/>
                <w:lang w:val="en-US" w:eastAsia="zh-CN" w:bidi="ar-SA"/>
              </w:rPr>
            </w:pPr>
            <w:r>
              <w:rPr>
                <w:rFonts w:hint="eastAsia" w:ascii="仿宋_GB2312" w:eastAsia="仿宋_GB2312"/>
                <w:strike w:val="0"/>
                <w:dstrike w:val="0"/>
                <w:color w:val="auto"/>
                <w:sz w:val="18"/>
                <w:szCs w:val="18"/>
                <w:highlight w:val="none"/>
                <w:u w:val="none" w:color="auto"/>
                <w:shd w:val="clear" w:color="auto" w:fill="auto"/>
                <w:lang w:val="en-US" w:eastAsia="zh-CN"/>
              </w:rPr>
              <w:t>75</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预期性</w:t>
            </w:r>
          </w:p>
        </w:tc>
      </w:tr>
      <w:tr>
        <w:tblPrEx>
          <w:tblCellMar>
            <w:top w:w="0" w:type="dxa"/>
            <w:left w:w="108" w:type="dxa"/>
            <w:bottom w:w="0" w:type="dxa"/>
            <w:right w:w="108" w:type="dxa"/>
          </w:tblCellMar>
        </w:tblPrEx>
        <w:trPr>
          <w:trHeight w:val="454" w:hRule="atLeast"/>
          <w:jc w:val="center"/>
        </w:trPr>
        <w:tc>
          <w:tcPr>
            <w:tcW w:w="362"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15</w:t>
            </w:r>
          </w:p>
        </w:tc>
        <w:tc>
          <w:tcPr>
            <w:tcW w:w="405" w:type="pct"/>
            <w:vMerge w:val="continue"/>
            <w:tcBorders>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b/>
                <w:bCs/>
                <w:strike w:val="0"/>
                <w:dstrike w:val="0"/>
                <w:color w:val="auto"/>
                <w:sz w:val="18"/>
                <w:szCs w:val="18"/>
                <w:highlight w:val="none"/>
                <w:u w:val="none" w:color="auto"/>
                <w:shd w:val="clear" w:color="auto" w:fill="auto"/>
              </w:rPr>
            </w:pPr>
          </w:p>
        </w:tc>
        <w:tc>
          <w:tcPr>
            <w:tcW w:w="2363" w:type="pct"/>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人均预期寿命（岁）</w:t>
            </w:r>
          </w:p>
        </w:tc>
        <w:tc>
          <w:tcPr>
            <w:tcW w:w="1160"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eastAsia" w:ascii="仿宋_GB2312" w:hAnsi="Calibri" w:eastAsia="仿宋_GB2312" w:cs="Times New Roman"/>
                <w:strike w:val="0"/>
                <w:dstrike w:val="0"/>
                <w:color w:val="auto"/>
                <w:kern w:val="2"/>
                <w:sz w:val="18"/>
                <w:szCs w:val="18"/>
                <w:highlight w:val="none"/>
                <w:u w:val="none" w:color="auto"/>
                <w:shd w:val="clear" w:color="auto" w:fill="auto"/>
                <w:lang w:val="en-US" w:eastAsia="zh-CN" w:bidi="ar-SA"/>
              </w:rPr>
            </w:pPr>
            <w:r>
              <w:rPr>
                <w:rFonts w:hint="eastAsia" w:ascii="仿宋_GB2312" w:eastAsia="仿宋_GB2312"/>
                <w:strike w:val="0"/>
                <w:dstrike w:val="0"/>
                <w:color w:val="auto"/>
                <w:sz w:val="18"/>
                <w:szCs w:val="18"/>
                <w:highlight w:val="none"/>
                <w:u w:val="none" w:color="auto"/>
                <w:shd w:val="clear" w:color="auto" w:fill="auto"/>
                <w:lang w:val="en-US" w:eastAsia="zh-CN"/>
              </w:rPr>
              <w:t>83</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预期性</w:t>
            </w:r>
          </w:p>
        </w:tc>
      </w:tr>
      <w:tr>
        <w:tblPrEx>
          <w:tblCellMar>
            <w:top w:w="0" w:type="dxa"/>
            <w:left w:w="108" w:type="dxa"/>
            <w:bottom w:w="0" w:type="dxa"/>
            <w:right w:w="108" w:type="dxa"/>
          </w:tblCellMar>
        </w:tblPrEx>
        <w:trPr>
          <w:trHeight w:val="454" w:hRule="atLeast"/>
          <w:jc w:val="center"/>
        </w:trPr>
        <w:tc>
          <w:tcPr>
            <w:tcW w:w="362"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16</w:t>
            </w:r>
          </w:p>
        </w:tc>
        <w:tc>
          <w:tcPr>
            <w:tcW w:w="405" w:type="pct"/>
            <w:vMerge w:val="continue"/>
            <w:tcBorders>
              <w:left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b/>
                <w:bCs/>
                <w:strike w:val="0"/>
                <w:dstrike w:val="0"/>
                <w:color w:val="auto"/>
                <w:sz w:val="18"/>
                <w:szCs w:val="18"/>
                <w:highlight w:val="none"/>
                <w:u w:val="none" w:color="auto"/>
                <w:shd w:val="clear" w:color="auto" w:fill="auto"/>
              </w:rPr>
            </w:pPr>
          </w:p>
        </w:tc>
        <w:tc>
          <w:tcPr>
            <w:tcW w:w="2363" w:type="pct"/>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单位地区生产总值二氧化碳排放降低（%）</w:t>
            </w:r>
          </w:p>
        </w:tc>
        <w:tc>
          <w:tcPr>
            <w:tcW w:w="1160"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eastAsia" w:ascii="仿宋_GB2312" w:hAnsi="Calibri" w:eastAsia="仿宋_GB2312" w:cs="Times New Roman"/>
                <w:strike w:val="0"/>
                <w:dstrike w:val="0"/>
                <w:color w:val="auto"/>
                <w:kern w:val="2"/>
                <w:sz w:val="18"/>
                <w:szCs w:val="18"/>
                <w:highlight w:val="none"/>
                <w:u w:val="none" w:color="auto"/>
                <w:shd w:val="clear" w:color="auto" w:fill="auto"/>
                <w:lang w:val="en-US" w:eastAsia="zh-CN" w:bidi="ar-SA"/>
              </w:rPr>
            </w:pPr>
            <w:r>
              <w:rPr>
                <w:rFonts w:hint="eastAsia" w:ascii="仿宋_GB2312" w:eastAsia="仿宋_GB2312" w:cs="Times New Roman"/>
                <w:strike w:val="0"/>
                <w:dstrike w:val="0"/>
                <w:color w:val="auto"/>
                <w:kern w:val="2"/>
                <w:sz w:val="18"/>
                <w:szCs w:val="18"/>
                <w:highlight w:val="none"/>
                <w:u w:val="none" w:color="auto"/>
                <w:shd w:val="clear" w:color="auto" w:fill="auto"/>
                <w:lang w:val="en-US" w:eastAsia="zh-CN" w:bidi="ar-SA"/>
              </w:rPr>
              <w:t>完成上级任务</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约束性</w:t>
            </w:r>
          </w:p>
        </w:tc>
      </w:tr>
      <w:tr>
        <w:tblPrEx>
          <w:tblCellMar>
            <w:top w:w="0" w:type="dxa"/>
            <w:left w:w="108" w:type="dxa"/>
            <w:bottom w:w="0" w:type="dxa"/>
            <w:right w:w="108" w:type="dxa"/>
          </w:tblCellMar>
        </w:tblPrEx>
        <w:trPr>
          <w:trHeight w:val="454" w:hRule="atLeast"/>
          <w:jc w:val="center"/>
        </w:trPr>
        <w:tc>
          <w:tcPr>
            <w:tcW w:w="362"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17</w:t>
            </w:r>
          </w:p>
        </w:tc>
        <w:tc>
          <w:tcPr>
            <w:tcW w:w="405" w:type="pct"/>
            <w:vMerge w:val="continue"/>
            <w:tcBorders>
              <w:left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b/>
                <w:bCs/>
                <w:strike w:val="0"/>
                <w:dstrike w:val="0"/>
                <w:color w:val="auto"/>
                <w:sz w:val="18"/>
                <w:szCs w:val="18"/>
                <w:highlight w:val="none"/>
                <w:u w:val="none" w:color="auto"/>
                <w:shd w:val="clear" w:color="auto" w:fill="auto"/>
              </w:rPr>
            </w:pPr>
          </w:p>
        </w:tc>
        <w:tc>
          <w:tcPr>
            <w:tcW w:w="236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rPr>
                <w:rFonts w:hint="default" w:ascii="仿宋_GB2312" w:eastAsia="仿宋_GB2312"/>
                <w:strike w:val="0"/>
                <w:dstrike w:val="0"/>
                <w:color w:val="auto"/>
                <w:sz w:val="18"/>
                <w:szCs w:val="18"/>
                <w:highlight w:val="none"/>
                <w:u w:val="none" w:color="auto"/>
                <w:shd w:val="clear" w:color="auto" w:fill="auto"/>
              </w:rPr>
            </w:pPr>
            <w:r>
              <w:rPr>
                <w:rFonts w:ascii="仿宋_GB2312" w:eastAsia="仿宋_GB2312"/>
                <w:strike w:val="0"/>
                <w:dstrike w:val="0"/>
                <w:color w:val="auto"/>
                <w:sz w:val="18"/>
                <w:szCs w:val="18"/>
                <w:highlight w:val="none"/>
                <w:u w:val="none" w:color="auto"/>
                <w:shd w:val="clear" w:color="auto" w:fill="auto"/>
              </w:rPr>
              <w:t>空气中细颗粒物（</w:t>
            </w:r>
            <w:r>
              <w:rPr>
                <w:rFonts w:hint="eastAsia" w:ascii="仿宋_GB2312" w:eastAsia="仿宋_GB2312"/>
                <w:strike w:val="0"/>
                <w:dstrike w:val="0"/>
                <w:color w:val="auto"/>
                <w:sz w:val="18"/>
                <w:szCs w:val="18"/>
                <w:highlight w:val="none"/>
                <w:u w:val="none" w:color="auto"/>
                <w:shd w:val="clear" w:color="auto" w:fill="auto"/>
                <w:lang w:val="en-US" w:eastAsia="zh-CN"/>
              </w:rPr>
              <w:t>PM</w:t>
            </w:r>
            <w:r>
              <w:rPr>
                <w:rFonts w:hint="default" w:ascii="sans-serif" w:hAnsi="sans-serif" w:eastAsia="sans-serif" w:cs="sans-serif"/>
                <w:i w:val="0"/>
                <w:iCs w:val="0"/>
                <w:caps w:val="0"/>
                <w:color w:val="auto"/>
                <w:spacing w:val="0"/>
                <w:kern w:val="0"/>
                <w:sz w:val="18"/>
                <w:szCs w:val="18"/>
                <w:highlight w:val="none"/>
                <w:u w:val="none" w:color="auto"/>
                <w:shd w:val="clear" w:fill="FFFFFF"/>
                <w:vertAlign w:val="subscript"/>
                <w:lang w:val="en-US" w:eastAsia="zh-CN" w:bidi="ar"/>
              </w:rPr>
              <w:t>2.5</w:t>
            </w:r>
            <w:r>
              <w:rPr>
                <w:rFonts w:ascii="仿宋_GB2312" w:eastAsia="仿宋_GB2312"/>
                <w:strike w:val="0"/>
                <w:dstrike w:val="0"/>
                <w:color w:val="auto"/>
                <w:sz w:val="18"/>
                <w:szCs w:val="18"/>
                <w:highlight w:val="none"/>
                <w:u w:val="none" w:color="auto"/>
                <w:shd w:val="clear" w:color="auto" w:fill="auto"/>
              </w:rPr>
              <w:t>）浓度（微克/立方米）</w:t>
            </w:r>
          </w:p>
        </w:tc>
        <w:tc>
          <w:tcPr>
            <w:tcW w:w="1160"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hAnsi="Calibri" w:eastAsia="仿宋_GB2312" w:cs="Times New Roman"/>
                <w:strike w:val="0"/>
                <w:dstrike w:val="0"/>
                <w:color w:val="auto"/>
                <w:kern w:val="2"/>
                <w:sz w:val="18"/>
                <w:szCs w:val="18"/>
                <w:highlight w:val="none"/>
                <w:u w:val="none" w:color="auto"/>
                <w:shd w:val="clear" w:color="auto" w:fill="auto"/>
                <w:lang w:val="en-US" w:eastAsia="zh-CN" w:bidi="ar-SA"/>
              </w:rPr>
            </w:pPr>
            <w:r>
              <w:rPr>
                <w:rFonts w:hint="eastAsia" w:ascii="仿宋_GB2312" w:eastAsia="仿宋_GB2312"/>
                <w:strike w:val="0"/>
                <w:dstrike w:val="0"/>
                <w:color w:val="auto"/>
                <w:sz w:val="18"/>
                <w:szCs w:val="18"/>
                <w:highlight w:val="none"/>
                <w:u w:val="none" w:color="auto"/>
                <w:shd w:val="clear" w:color="auto" w:fill="auto"/>
                <w:lang w:val="en-US" w:eastAsia="zh-CN"/>
              </w:rPr>
              <w:t>25</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约束性</w:t>
            </w:r>
          </w:p>
        </w:tc>
      </w:tr>
      <w:tr>
        <w:tblPrEx>
          <w:tblCellMar>
            <w:top w:w="0" w:type="dxa"/>
            <w:left w:w="108" w:type="dxa"/>
            <w:bottom w:w="0" w:type="dxa"/>
            <w:right w:w="108" w:type="dxa"/>
          </w:tblCellMar>
        </w:tblPrEx>
        <w:trPr>
          <w:trHeight w:val="454" w:hRule="atLeast"/>
          <w:jc w:val="center"/>
        </w:trPr>
        <w:tc>
          <w:tcPr>
            <w:tcW w:w="362"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18</w:t>
            </w:r>
          </w:p>
        </w:tc>
        <w:tc>
          <w:tcPr>
            <w:tcW w:w="405" w:type="pct"/>
            <w:vMerge w:val="continue"/>
            <w:tcBorders>
              <w:left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b/>
                <w:bCs/>
                <w:strike w:val="0"/>
                <w:dstrike w:val="0"/>
                <w:color w:val="auto"/>
                <w:sz w:val="18"/>
                <w:szCs w:val="18"/>
                <w:highlight w:val="none"/>
                <w:u w:val="none" w:color="auto"/>
                <w:shd w:val="clear" w:color="auto" w:fill="auto"/>
              </w:rPr>
            </w:pPr>
          </w:p>
        </w:tc>
        <w:tc>
          <w:tcPr>
            <w:tcW w:w="2363" w:type="pct"/>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地表水达到或好于</w:t>
            </w:r>
            <w:r>
              <w:rPr>
                <w:rFonts w:hint="eastAsia" w:ascii="仿宋_GB2312" w:hAnsi="宋体" w:eastAsia="仿宋_GB2312" w:cs="宋体"/>
                <w:strike w:val="0"/>
                <w:dstrike w:val="0"/>
                <w:color w:val="auto"/>
                <w:sz w:val="18"/>
                <w:szCs w:val="18"/>
                <w:highlight w:val="none"/>
                <w:u w:val="none" w:color="auto"/>
                <w:shd w:val="clear" w:color="auto" w:fill="auto"/>
              </w:rPr>
              <w:t>Ⅲ</w:t>
            </w:r>
            <w:r>
              <w:rPr>
                <w:rFonts w:hint="eastAsia" w:ascii="仿宋_GB2312" w:eastAsia="仿宋_GB2312"/>
                <w:strike w:val="0"/>
                <w:dstrike w:val="0"/>
                <w:color w:val="auto"/>
                <w:sz w:val="18"/>
                <w:szCs w:val="18"/>
                <w:highlight w:val="none"/>
                <w:u w:val="none" w:color="auto"/>
                <w:shd w:val="clear" w:color="auto" w:fill="auto"/>
              </w:rPr>
              <w:t>类水体比例（%）</w:t>
            </w:r>
          </w:p>
        </w:tc>
        <w:tc>
          <w:tcPr>
            <w:tcW w:w="1160"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hAnsi="Calibri" w:eastAsia="仿宋_GB2312" w:cs="Times New Roman"/>
                <w:strike w:val="0"/>
                <w:dstrike w:val="0"/>
                <w:color w:val="auto"/>
                <w:kern w:val="2"/>
                <w:sz w:val="18"/>
                <w:szCs w:val="18"/>
                <w:highlight w:val="none"/>
                <w:u w:val="none" w:color="auto"/>
                <w:shd w:val="clear" w:color="auto" w:fill="auto"/>
                <w:lang w:val="en-US" w:eastAsia="zh-CN" w:bidi="ar-SA"/>
              </w:rPr>
            </w:pPr>
            <w:r>
              <w:rPr>
                <w:rFonts w:hint="eastAsia" w:ascii="仿宋_GB2312" w:eastAsia="仿宋_GB2312"/>
                <w:strike w:val="0"/>
                <w:dstrike w:val="0"/>
                <w:color w:val="auto"/>
                <w:sz w:val="18"/>
                <w:szCs w:val="18"/>
                <w:highlight w:val="none"/>
                <w:u w:val="none" w:color="auto"/>
                <w:shd w:val="clear" w:color="auto" w:fill="auto"/>
                <w:lang w:val="en-US" w:eastAsia="zh-CN"/>
              </w:rPr>
              <w:t>100</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约束性</w:t>
            </w:r>
          </w:p>
        </w:tc>
      </w:tr>
      <w:tr>
        <w:tblPrEx>
          <w:tblCellMar>
            <w:top w:w="0" w:type="dxa"/>
            <w:left w:w="108" w:type="dxa"/>
            <w:bottom w:w="0" w:type="dxa"/>
            <w:right w:w="108" w:type="dxa"/>
          </w:tblCellMar>
        </w:tblPrEx>
        <w:trPr>
          <w:trHeight w:val="454" w:hRule="atLeast"/>
          <w:jc w:val="center"/>
        </w:trPr>
        <w:tc>
          <w:tcPr>
            <w:tcW w:w="362" w:type="pct"/>
            <w:tcBorders>
              <w:top w:val="single" w:color="000000" w:sz="4" w:space="0"/>
              <w:left w:val="single" w:color="000000" w:sz="4" w:space="0"/>
              <w:bottom w:val="single" w:color="auto"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19</w:t>
            </w:r>
          </w:p>
        </w:tc>
        <w:tc>
          <w:tcPr>
            <w:tcW w:w="405" w:type="pct"/>
            <w:vMerge w:val="continue"/>
            <w:tcBorders>
              <w:left w:val="single" w:color="000000" w:sz="4" w:space="0"/>
              <w:bottom w:val="single" w:color="auto" w:sz="4" w:space="0"/>
              <w:right w:val="single" w:color="000000" w:sz="4" w:space="0"/>
            </w:tcBorders>
            <w:noWrap/>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b/>
                <w:bCs/>
                <w:strike w:val="0"/>
                <w:dstrike w:val="0"/>
                <w:color w:val="auto"/>
                <w:sz w:val="18"/>
                <w:szCs w:val="18"/>
                <w:highlight w:val="none"/>
                <w:u w:val="none" w:color="auto"/>
                <w:shd w:val="clear" w:color="auto" w:fill="auto"/>
              </w:rPr>
            </w:pPr>
          </w:p>
        </w:tc>
        <w:tc>
          <w:tcPr>
            <w:tcW w:w="2363" w:type="pct"/>
            <w:tcBorders>
              <w:top w:val="single" w:color="000000" w:sz="4" w:space="0"/>
              <w:left w:val="single" w:color="000000" w:sz="4" w:space="0"/>
              <w:bottom w:val="single" w:color="auto" w:sz="4" w:space="0"/>
              <w:right w:val="single" w:color="000000" w:sz="4" w:space="0"/>
            </w:tcBorders>
            <w:noWrap w:val="0"/>
            <w:vAlign w:val="center"/>
          </w:tcPr>
          <w:p>
            <w:pPr>
              <w:pageBreakBefore w:val="0"/>
              <w:widowControl w:val="0"/>
              <w:kinsoku/>
              <w:wordWrap/>
              <w:overflowPunct/>
              <w:topLinePunct w:val="0"/>
              <w:autoSpaceDE/>
              <w:autoSpaceDN/>
              <w:bidi w:val="0"/>
              <w:spacing w:line="240" w:lineRule="auto"/>
              <w:textAlignment w:val="auto"/>
              <w:rPr>
                <w:rFonts w:hint="default" w:ascii="仿宋_GB2312" w:eastAsia="仿宋_GB2312"/>
                <w:strike w:val="0"/>
                <w:dstrike w:val="0"/>
                <w:color w:val="auto"/>
                <w:sz w:val="18"/>
                <w:szCs w:val="18"/>
                <w:highlight w:val="none"/>
                <w:u w:val="none" w:color="auto"/>
                <w:shd w:val="clear" w:color="auto" w:fill="auto"/>
              </w:rPr>
            </w:pPr>
            <w:r>
              <w:rPr>
                <w:rFonts w:hint="default" w:ascii="仿宋_GB2312" w:eastAsia="仿宋_GB2312"/>
                <w:strike w:val="0"/>
                <w:dstrike w:val="0"/>
                <w:color w:val="auto"/>
                <w:sz w:val="18"/>
                <w:szCs w:val="18"/>
                <w:highlight w:val="none"/>
                <w:u w:val="none" w:color="auto"/>
                <w:shd w:val="clear" w:color="auto" w:fill="auto"/>
              </w:rPr>
              <w:t>森林蓄积量</w:t>
            </w:r>
            <w:r>
              <w:rPr>
                <w:rFonts w:hint="eastAsia" w:ascii="仿宋_GB2312" w:eastAsia="仿宋_GB2312"/>
                <w:strike w:val="0"/>
                <w:dstrike w:val="0"/>
                <w:color w:val="auto"/>
                <w:sz w:val="18"/>
                <w:szCs w:val="18"/>
                <w:highlight w:val="none"/>
                <w:u w:val="none" w:color="auto"/>
                <w:shd w:val="clear" w:color="auto" w:fill="auto"/>
                <w:lang w:val="en-US" w:eastAsia="zh-CN"/>
              </w:rPr>
              <w:t>年均增长（万立方米）</w:t>
            </w:r>
          </w:p>
        </w:tc>
        <w:tc>
          <w:tcPr>
            <w:tcW w:w="1160"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hAnsi="Calibri" w:eastAsia="仿宋_GB2312" w:cs="Times New Roman"/>
                <w:strike w:val="0"/>
                <w:dstrike w:val="0"/>
                <w:color w:val="auto"/>
                <w:kern w:val="2"/>
                <w:sz w:val="18"/>
                <w:szCs w:val="18"/>
                <w:highlight w:val="none"/>
                <w:u w:val="none" w:color="auto"/>
                <w:shd w:val="clear" w:color="auto" w:fill="auto"/>
                <w:lang w:val="en-US" w:eastAsia="zh-CN" w:bidi="ar-SA"/>
              </w:rPr>
            </w:pPr>
            <w:r>
              <w:rPr>
                <w:rFonts w:hint="eastAsia" w:ascii="仿宋_GB2312" w:eastAsia="仿宋_GB2312"/>
                <w:strike w:val="0"/>
                <w:dstrike w:val="0"/>
                <w:color w:val="auto"/>
                <w:sz w:val="18"/>
                <w:szCs w:val="18"/>
                <w:highlight w:val="none"/>
                <w:u w:val="none" w:color="auto"/>
                <w:shd w:val="clear" w:color="auto" w:fill="auto"/>
                <w:lang w:val="en-US" w:eastAsia="zh-CN"/>
              </w:rPr>
              <w:t>2.4</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约束性</w:t>
            </w:r>
          </w:p>
        </w:tc>
      </w:tr>
      <w:tr>
        <w:tblPrEx>
          <w:tblCellMar>
            <w:top w:w="0" w:type="dxa"/>
            <w:left w:w="108" w:type="dxa"/>
            <w:bottom w:w="0" w:type="dxa"/>
            <w:right w:w="108" w:type="dxa"/>
          </w:tblCellMar>
        </w:tblPrEx>
        <w:trPr>
          <w:trHeight w:val="454" w:hRule="atLeast"/>
          <w:jc w:val="center"/>
        </w:trPr>
        <w:tc>
          <w:tcPr>
            <w:tcW w:w="362" w:type="pct"/>
            <w:tcBorders>
              <w:top w:val="single" w:color="auto" w:sz="4" w:space="0"/>
              <w:left w:val="single" w:color="auto" w:sz="4" w:space="0"/>
              <w:bottom w:val="single" w:color="auto"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default" w:ascii="仿宋_GB2312" w:eastAsia="仿宋_GB2312"/>
                <w:strike w:val="0"/>
                <w:dstrike w:val="0"/>
                <w:color w:val="auto"/>
                <w:sz w:val="18"/>
                <w:szCs w:val="18"/>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val="en-US" w:eastAsia="zh-CN"/>
              </w:rPr>
              <w:t>20</w:t>
            </w:r>
          </w:p>
        </w:tc>
        <w:tc>
          <w:tcPr>
            <w:tcW w:w="405" w:type="pct"/>
            <w:tcBorders>
              <w:top w:val="single" w:color="auto" w:sz="4" w:space="0"/>
              <w:left w:val="single" w:color="000000" w:sz="4" w:space="0"/>
              <w:bottom w:val="single" w:color="auto"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b/>
                <w:bCs/>
                <w:strike w:val="0"/>
                <w:dstrike w:val="0"/>
                <w:color w:val="auto"/>
                <w:sz w:val="18"/>
                <w:szCs w:val="18"/>
                <w:highlight w:val="none"/>
                <w:u w:val="none" w:color="auto"/>
                <w:shd w:val="clear" w:color="auto" w:fill="auto"/>
              </w:rPr>
            </w:pPr>
            <w:r>
              <w:rPr>
                <w:rFonts w:hint="eastAsia" w:ascii="仿宋_GB2312" w:eastAsia="仿宋_GB2312"/>
                <w:b/>
                <w:bCs/>
                <w:strike w:val="0"/>
                <w:dstrike w:val="0"/>
                <w:color w:val="auto"/>
                <w:sz w:val="18"/>
                <w:szCs w:val="18"/>
                <w:highlight w:val="none"/>
                <w:u w:val="none" w:color="auto"/>
                <w:shd w:val="clear" w:color="auto" w:fill="auto"/>
              </w:rPr>
              <w:t>安全保障</w:t>
            </w:r>
          </w:p>
        </w:tc>
        <w:tc>
          <w:tcPr>
            <w:tcW w:w="2363" w:type="pct"/>
            <w:tcBorders>
              <w:top w:val="single" w:color="auto" w:sz="4" w:space="0"/>
              <w:left w:val="single" w:color="000000" w:sz="4" w:space="0"/>
              <w:bottom w:val="single" w:color="auto" w:sz="4" w:space="0"/>
              <w:right w:val="single" w:color="auto" w:sz="4" w:space="0"/>
            </w:tcBorders>
            <w:noWrap w:val="0"/>
            <w:vAlign w:val="center"/>
          </w:tcPr>
          <w:p>
            <w:pPr>
              <w:pageBreakBefore w:val="0"/>
              <w:widowControl w:val="0"/>
              <w:kinsoku/>
              <w:wordWrap/>
              <w:overflowPunct/>
              <w:topLinePunct w:val="0"/>
              <w:autoSpaceDE/>
              <w:autoSpaceDN/>
              <w:bidi w:val="0"/>
              <w:spacing w:line="240" w:lineRule="auto"/>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粮食综合生产能力（</w:t>
            </w:r>
            <w:r>
              <w:rPr>
                <w:rFonts w:hint="default" w:ascii="仿宋_GB2312" w:eastAsia="仿宋_GB2312"/>
                <w:strike w:val="0"/>
                <w:dstrike w:val="0"/>
                <w:color w:val="auto"/>
                <w:sz w:val="18"/>
                <w:szCs w:val="18"/>
                <w:highlight w:val="none"/>
                <w:u w:val="none" w:color="auto"/>
                <w:shd w:val="clear" w:color="auto" w:fill="auto"/>
              </w:rPr>
              <w:t>亿斤</w:t>
            </w:r>
            <w:r>
              <w:rPr>
                <w:rFonts w:hint="eastAsia" w:ascii="仿宋_GB2312" w:eastAsia="仿宋_GB2312"/>
                <w:strike w:val="0"/>
                <w:dstrike w:val="0"/>
                <w:color w:val="auto"/>
                <w:sz w:val="18"/>
                <w:szCs w:val="18"/>
                <w:highlight w:val="none"/>
                <w:u w:val="none" w:color="auto"/>
                <w:shd w:val="clear" w:color="auto" w:fill="auto"/>
              </w:rPr>
              <w:t>）</w:t>
            </w:r>
          </w:p>
        </w:tc>
        <w:tc>
          <w:tcPr>
            <w:tcW w:w="1160" w:type="pct"/>
            <w:tcBorders>
              <w:top w:val="single" w:color="000000" w:sz="4" w:space="0"/>
              <w:left w:val="single" w:color="auto"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hint="eastAsia" w:ascii="仿宋_GB2312" w:hAnsi="Calibri" w:eastAsia="仿宋_GB2312" w:cs="Times New Roman"/>
                <w:strike w:val="0"/>
                <w:dstrike w:val="0"/>
                <w:color w:val="auto"/>
                <w:kern w:val="2"/>
                <w:sz w:val="18"/>
                <w:szCs w:val="18"/>
                <w:highlight w:val="none"/>
                <w:u w:val="none" w:color="auto"/>
                <w:shd w:val="clear" w:color="auto" w:fill="auto"/>
                <w:lang w:val="en-US" w:eastAsia="zh-CN" w:bidi="ar-SA"/>
              </w:rPr>
            </w:pPr>
            <w:r>
              <w:rPr>
                <w:rFonts w:hint="eastAsia" w:ascii="仿宋_GB2312" w:eastAsia="仿宋_GB2312"/>
                <w:strike w:val="0"/>
                <w:dstrike w:val="0"/>
                <w:color w:val="auto"/>
                <w:sz w:val="18"/>
                <w:szCs w:val="18"/>
                <w:highlight w:val="none"/>
                <w:u w:val="none" w:color="auto"/>
                <w:shd w:val="clear" w:color="auto" w:fill="auto"/>
                <w:lang w:val="en-US" w:eastAsia="zh-CN"/>
              </w:rPr>
              <w:t>11</w:t>
            </w:r>
          </w:p>
        </w:tc>
        <w:tc>
          <w:tcPr>
            <w:tcW w:w="708" w:type="pct"/>
            <w:tcBorders>
              <w:top w:val="single" w:color="000000" w:sz="4" w:space="0"/>
              <w:left w:val="single" w:color="000000" w:sz="4" w:space="0"/>
              <w:bottom w:val="single" w:color="000000" w:sz="4" w:space="0"/>
              <w:right w:val="single" w:color="000000" w:sz="4" w:space="0"/>
            </w:tcBorders>
            <w:noWrap/>
            <w:vAlign w:val="center"/>
          </w:tcPr>
          <w:p>
            <w:pPr>
              <w:pageBreakBefore w:val="0"/>
              <w:widowControl w:val="0"/>
              <w:kinsoku/>
              <w:wordWrap/>
              <w:overflowPunct/>
              <w:topLinePunct w:val="0"/>
              <w:autoSpaceDE/>
              <w:autoSpaceDN/>
              <w:bidi w:val="0"/>
              <w:spacing w:line="240" w:lineRule="auto"/>
              <w:jc w:val="center"/>
              <w:textAlignment w:val="auto"/>
              <w:rPr>
                <w:rFonts w:ascii="仿宋_GB2312" w:eastAsia="仿宋_GB2312"/>
                <w:strike w:val="0"/>
                <w:dstrike w:val="0"/>
                <w:color w:val="auto"/>
                <w:sz w:val="18"/>
                <w:szCs w:val="18"/>
                <w:highlight w:val="none"/>
                <w:u w:val="none" w:color="auto"/>
                <w:shd w:val="clear" w:color="auto" w:fill="auto"/>
              </w:rPr>
            </w:pPr>
            <w:r>
              <w:rPr>
                <w:rFonts w:hint="eastAsia" w:ascii="仿宋_GB2312" w:eastAsia="仿宋_GB2312"/>
                <w:strike w:val="0"/>
                <w:dstrike w:val="0"/>
                <w:color w:val="auto"/>
                <w:sz w:val="18"/>
                <w:szCs w:val="18"/>
                <w:highlight w:val="none"/>
                <w:u w:val="none" w:color="auto"/>
                <w:shd w:val="clear" w:color="auto" w:fill="auto"/>
              </w:rPr>
              <w:t>约束性</w:t>
            </w:r>
          </w:p>
        </w:tc>
      </w:tr>
    </w:tbl>
    <w:p>
      <w:pPr>
        <w:ind w:firstLine="360" w:firstLineChars="200"/>
        <w:rPr>
          <w:rFonts w:hint="eastAsia" w:eastAsia="仿宋_GB2312"/>
          <w:strike w:val="0"/>
          <w:dstrike w:val="0"/>
          <w:color w:val="auto"/>
          <w:highlight w:val="none"/>
          <w:u w:val="none" w:color="auto"/>
          <w:shd w:val="clear" w:color="auto" w:fill="auto"/>
          <w:lang w:val="en-US" w:eastAsia="zh-CN"/>
        </w:rPr>
      </w:pPr>
      <w:r>
        <w:rPr>
          <w:rFonts w:hint="eastAsia" w:ascii="仿宋_GB2312" w:eastAsia="仿宋_GB2312"/>
          <w:strike w:val="0"/>
          <w:dstrike w:val="0"/>
          <w:color w:val="auto"/>
          <w:sz w:val="18"/>
          <w:szCs w:val="18"/>
          <w:highlight w:val="none"/>
          <w:u w:val="none" w:color="auto"/>
          <w:shd w:val="clear" w:color="auto" w:fill="auto"/>
          <w:lang w:eastAsia="zh-CN"/>
        </w:rPr>
        <w:t>注：</w:t>
      </w:r>
      <w:r>
        <w:rPr>
          <w:rFonts w:hint="default" w:ascii="仿宋_GB2312" w:eastAsia="仿宋_GB2312"/>
          <w:strike w:val="0"/>
          <w:dstrike w:val="0"/>
          <w:color w:val="auto"/>
          <w:sz w:val="18"/>
          <w:szCs w:val="18"/>
          <w:highlight w:val="none"/>
          <w:u w:val="none" w:color="auto"/>
          <w:shd w:val="clear" w:color="auto" w:fill="auto"/>
        </w:rPr>
        <w:t>[]</w:t>
      </w:r>
      <w:r>
        <w:rPr>
          <w:rFonts w:hint="eastAsia" w:ascii="仿宋_GB2312" w:eastAsia="仿宋_GB2312"/>
          <w:strike w:val="0"/>
          <w:dstrike w:val="0"/>
          <w:color w:val="auto"/>
          <w:sz w:val="18"/>
          <w:szCs w:val="18"/>
          <w:highlight w:val="none"/>
          <w:u w:val="none" w:color="auto"/>
          <w:shd w:val="clear" w:color="auto" w:fill="auto"/>
          <w:lang w:eastAsia="zh-CN"/>
        </w:rPr>
        <w:t>为五年累计数</w:t>
      </w:r>
    </w:p>
    <w:p>
      <w:pPr>
        <w:pStyle w:val="2"/>
        <w:keepNext/>
        <w:keepLines/>
        <w:pageBreakBefore w:val="0"/>
        <w:widowControl w:val="0"/>
        <w:kinsoku/>
        <w:wordWrap/>
        <w:overflowPunct/>
        <w:topLinePunct w:val="0"/>
        <w:autoSpaceDE/>
        <w:autoSpaceDN/>
        <w:bidi w:val="0"/>
        <w:adjustRightInd/>
        <w:snapToGrid/>
        <w:spacing w:after="0" w:line="600" w:lineRule="exact"/>
        <w:textAlignment w:val="auto"/>
        <w:rPr>
          <w:rFonts w:hint="default"/>
          <w:strike w:val="0"/>
          <w:dstrike w:val="0"/>
          <w:color w:val="auto"/>
          <w:highlight w:val="none"/>
          <w:u w:val="none" w:color="auto"/>
          <w:shd w:val="clear" w:color="auto" w:fill="auto"/>
          <w:lang w:val="en-US" w:eastAsia="zh-CN"/>
        </w:rPr>
      </w:pPr>
      <w:bookmarkStart w:id="92" w:name="_Toc1855400811"/>
      <w:r>
        <w:rPr>
          <w:rFonts w:hint="eastAsia"/>
          <w:strike w:val="0"/>
          <w:dstrike w:val="0"/>
          <w:color w:val="auto"/>
          <w:highlight w:val="none"/>
          <w:u w:val="none" w:color="auto"/>
          <w:shd w:val="clear" w:color="auto" w:fill="auto"/>
          <w:lang w:val="en-US" w:eastAsia="zh-CN"/>
        </w:rPr>
        <w:t>第二篇 以改革创新为引领，加快打造区域引领性</w:t>
      </w:r>
      <w:bookmarkStart w:id="93" w:name="_Toc18418"/>
      <w:r>
        <w:rPr>
          <w:rFonts w:hint="eastAsia"/>
          <w:strike w:val="0"/>
          <w:dstrike w:val="0"/>
          <w:color w:val="auto"/>
          <w:highlight w:val="none"/>
          <w:u w:val="none" w:color="auto"/>
          <w:shd w:val="clear" w:color="auto" w:fill="auto"/>
          <w:lang w:val="en-US" w:eastAsia="zh-CN"/>
        </w:rPr>
        <w:t xml:space="preserve">        绿色经济发展实践区</w:t>
      </w:r>
      <w:bookmarkEnd w:id="92"/>
      <w:bookmarkEnd w:id="93"/>
    </w:p>
    <w:p>
      <w:pPr>
        <w:pStyle w:val="3"/>
        <w:pageBreakBefore w:val="0"/>
        <w:widowControl w:val="0"/>
        <w:kinsoku/>
        <w:wordWrap/>
        <w:overflowPunct/>
        <w:topLinePunct w:val="0"/>
        <w:autoSpaceDE/>
        <w:autoSpaceDN/>
        <w:bidi w:val="0"/>
        <w:spacing w:line="600" w:lineRule="exact"/>
        <w:textAlignment w:val="auto"/>
        <w:rPr>
          <w:rFonts w:hint="default"/>
          <w:strike w:val="0"/>
          <w:dstrike w:val="0"/>
          <w:color w:val="auto"/>
          <w:highlight w:val="none"/>
          <w:u w:val="none" w:color="auto"/>
          <w:shd w:val="clear" w:color="auto" w:fill="auto"/>
          <w:lang w:val="en-US" w:eastAsia="zh-CN"/>
        </w:rPr>
      </w:pPr>
      <w:bookmarkStart w:id="94" w:name="_Toc1924678654"/>
      <w:r>
        <w:rPr>
          <w:rFonts w:hint="eastAsia"/>
          <w:strike w:val="0"/>
          <w:dstrike w:val="0"/>
          <w:color w:val="auto"/>
          <w:highlight w:val="none"/>
          <w:u w:val="none" w:color="auto"/>
          <w:shd w:val="clear" w:color="auto" w:fill="auto"/>
          <w:lang w:val="en-US" w:eastAsia="zh-CN"/>
        </w:rPr>
        <w:t>第四章 建设高质量现代化产业体系，巩固壮大实体经济根基</w:t>
      </w:r>
      <w:bookmarkEnd w:id="94"/>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pP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坚持把发展经济的着力点放在实体经济上，以推进产业基础高级化、产业链现代化为主线，统筹推进传统产业改造升级、特色优势产业提质增效、战略性新兴产业培育壮大，加快构建以六大百亿级产业集群为代表，具有庄河特色的现代化产业体系。</w:t>
      </w:r>
    </w:p>
    <w:p>
      <w:pPr>
        <w:pStyle w:val="4"/>
        <w:pageBreakBefore w:val="0"/>
        <w:widowControl w:val="0"/>
        <w:kinsoku/>
        <w:wordWrap/>
        <w:overflowPunct/>
        <w:topLinePunct w:val="0"/>
        <w:autoSpaceDE/>
        <w:autoSpaceDN/>
        <w:bidi w:val="0"/>
        <w:spacing w:line="600" w:lineRule="exact"/>
        <w:textAlignment w:val="auto"/>
        <w:rPr>
          <w:rFonts w:hint="eastAsia"/>
          <w:strike w:val="0"/>
          <w:dstrike w:val="0"/>
          <w:color w:val="auto"/>
          <w:highlight w:val="none"/>
          <w:u w:val="none" w:color="auto"/>
          <w:shd w:val="clear" w:color="auto" w:fill="auto"/>
          <w:lang w:val="en-US" w:eastAsia="zh-CN"/>
        </w:rPr>
      </w:pPr>
      <w:bookmarkStart w:id="95" w:name="_Toc1467969012"/>
      <w:r>
        <w:rPr>
          <w:rFonts w:hint="eastAsia"/>
          <w:strike w:val="0"/>
          <w:dstrike w:val="0"/>
          <w:color w:val="auto"/>
          <w:highlight w:val="none"/>
          <w:u w:val="none" w:color="auto"/>
          <w:shd w:val="clear" w:color="auto" w:fill="auto"/>
          <w:lang w:val="en-US" w:eastAsia="zh-CN"/>
        </w:rPr>
        <w:t>第一节 优化提升传统优势产业</w:t>
      </w:r>
      <w:bookmarkEnd w:id="95"/>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pPr>
      <w:r>
        <w:rPr>
          <w:rFonts w:hint="eastAsia"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t>推动装备制造业数智化转型和绿色化、集群化发展。</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引导企业开展关键技术攻关，围绕精密铸造、数控机床、橡胶机械、节能电机等领域引导企业加快设备更新，开展智能车间建设，推动“庄河制造”向“庄河智造”跨越发展。加快发展海工装备、海洋高端装备、深远海养殖捕捞装备和高技术船舶制造，积极发展节能环保装备。力争到2030年，装备制造业产值达到100亿元。</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pPr>
      <w:r>
        <w:rPr>
          <w:rFonts w:hint="eastAsia"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t>推动水产等食品加工产业向精深加工、绿色健康、高附加值方向转型。</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向前端延伸，带动新型农业经营主体建设长期稳定的原料基地。向后端延伸，建设物流营销和服务网络，推动产业串珠成链、集群发展。持续巩固壮大水产品加工传统优势，引导企业增品种、提品质、创品牌，重点打造黑岛、青堆等水产品加工基地。开拓预制菜、即食零食、功能性食品、保健品、生物制造等新领域。发挥行业协会作用，深化水产品公共品牌建设。</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pPr>
      <w:r>
        <w:rPr>
          <w:rFonts w:hint="eastAsia" w:ascii="仿宋_GB2312" w:hAnsi="仿宋_GB2312" w:eastAsia="仿宋_GB2312" w:cs="仿宋_GB2312"/>
          <w:b/>
          <w:bCs w:val="0"/>
          <w:strike w:val="0"/>
          <w:dstrike w:val="0"/>
          <w:color w:val="auto"/>
          <w:sz w:val="32"/>
          <w:szCs w:val="32"/>
          <w:highlight w:val="none"/>
          <w:u w:val="none" w:color="auto"/>
          <w:shd w:val="clear" w:color="auto" w:fill="auto"/>
          <w:lang w:val="en-US" w:eastAsia="zh-CN"/>
        </w:rPr>
        <w:t>引导木材加工和服装纺织产业定制化、数字化转型。</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推动木材加工业向定制化、高端化发展，全面重塑庄河家具的品牌和影响力，拓展境内外家具市场。推进庄河港木材进口基地建设，争取把庄河港前区建设成联结东南沿海、面向东北地区的以木材制品为主、包括建筑装饰材料在内的区域物流配送中心。以“互联网＋”为契机，积极发展定制服装、特种服装，快速实现服装产品的功能化、品牌化和个性化。</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bCs/>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val="0"/>
          <w:strike w:val="0"/>
          <w:dstrike w:val="0"/>
          <w:color w:val="auto"/>
          <w:sz w:val="32"/>
          <w:szCs w:val="32"/>
          <w:highlight w:val="none"/>
          <w:u w:val="none" w:color="auto"/>
          <w:shd w:val="clear" w:color="auto" w:fill="auto"/>
          <w:lang w:val="en-US" w:eastAsia="zh-CN"/>
        </w:rPr>
        <w:t>推动建筑业创新发展。</w:t>
      </w:r>
      <w:r>
        <w:rPr>
          <w:rFonts w:hint="eastAsia" w:ascii="仿宋_GB2312" w:hAnsi="仿宋_GB2312" w:eastAsia="仿宋_GB2312" w:cs="仿宋_GB2312"/>
          <w:bCs/>
          <w:strike w:val="0"/>
          <w:dstrike w:val="0"/>
          <w:color w:val="auto"/>
          <w:sz w:val="32"/>
          <w:szCs w:val="32"/>
          <w:highlight w:val="none"/>
          <w:u w:val="none" w:color="auto"/>
          <w:shd w:val="clear" w:color="auto" w:fill="auto"/>
          <w:lang w:val="en-US" w:eastAsia="zh-CN"/>
        </w:rPr>
        <w:t>推动建筑企业拓展至城市更新等多元领域，降低对房地产市场依赖，推动建筑企业与央企组建联合体，参与重大项目建设。聚焦钢结构、装饰装修等细分领域，引导企业深耕专业赛道，形成差异化特色竞争优势。推广绿色建造方式，新建民用建筑全面执行《绿色建筑评价标准》，新建政府投资项目（国有投资）全面执行二星级或以上标准。提高智能建造技术在大型项目应用比例，鼓励企业多场景运用智能建造技术。</w:t>
      </w:r>
    </w:p>
    <w:p>
      <w:pPr>
        <w:pStyle w:val="4"/>
        <w:pageBreakBefore w:val="0"/>
        <w:widowControl w:val="0"/>
        <w:kinsoku/>
        <w:wordWrap/>
        <w:overflowPunct/>
        <w:topLinePunct w:val="0"/>
        <w:autoSpaceDE/>
        <w:autoSpaceDN/>
        <w:bidi w:val="0"/>
        <w:spacing w:line="600" w:lineRule="exact"/>
        <w:textAlignment w:val="auto"/>
        <w:rPr>
          <w:rFonts w:hint="default"/>
          <w:strike w:val="0"/>
          <w:dstrike w:val="0"/>
          <w:color w:val="auto"/>
          <w:highlight w:val="none"/>
          <w:u w:val="none" w:color="auto"/>
          <w:shd w:val="clear" w:color="auto" w:fill="auto"/>
          <w:lang w:val="en-US" w:eastAsia="zh-CN"/>
        </w:rPr>
      </w:pPr>
      <w:bookmarkStart w:id="96" w:name="_Toc1899593059"/>
      <w:r>
        <w:rPr>
          <w:rFonts w:hint="eastAsia"/>
          <w:strike w:val="0"/>
          <w:dstrike w:val="0"/>
          <w:color w:val="auto"/>
          <w:highlight w:val="none"/>
          <w:u w:val="none" w:color="auto"/>
          <w:shd w:val="clear" w:color="auto" w:fill="auto"/>
          <w:lang w:val="en-US" w:eastAsia="zh-CN"/>
        </w:rPr>
        <w:t>第二节 培育壮大新兴产业和未来产业</w:t>
      </w:r>
      <w:bookmarkEnd w:id="96"/>
    </w:p>
    <w:p>
      <w:pPr>
        <w:pageBreakBefore w:val="0"/>
        <w:widowControl w:val="0"/>
        <w:kinsoku/>
        <w:wordWrap/>
        <w:overflowPunct/>
        <w:topLinePunct w:val="0"/>
        <w:autoSpaceDE/>
        <w:autoSpaceDN/>
        <w:bidi w:val="0"/>
        <w:spacing w:line="600" w:lineRule="exact"/>
        <w:ind w:firstLine="642" w:firstLineChars="200"/>
        <w:jc w:val="both"/>
        <w:textAlignment w:val="auto"/>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pPr>
      <w:r>
        <w:rPr>
          <w:rFonts w:hint="eastAsia"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t>加快“风光火核储”一体化能源基地建设。</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全面融入辽宁清洁能源强省建设战略，扩大清洁能源装机规模，有序推进核电与储能建设。重点推动海上风电二期130万千瓦开发建设，谋划建设陆上风电。大力发展滩涂光伏发电，</w:t>
      </w:r>
      <w:r>
        <w:rPr>
          <w:rFonts w:hint="eastAsia" w:ascii="仿宋_GB2312" w:hAnsi="仿宋_GB2312" w:eastAsia="仿宋_GB2312" w:cs="仿宋_GB2312"/>
          <w:b w:val="0"/>
          <w:bCs w:val="0"/>
          <w:color w:val="auto"/>
          <w:kern w:val="2"/>
          <w:sz w:val="32"/>
          <w:szCs w:val="32"/>
          <w:highlight w:val="none"/>
          <w:u w:val="none" w:color="auto"/>
          <w:lang w:val="en-US" w:eastAsia="zh-CN" w:bidi="ar-SA"/>
        </w:rPr>
        <w:t>规范推动分布式光伏开发。</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全力推动庄河核电一期两台百万千瓦级机组开工建设，积极推动核电二期两台机组前期工作。加快100万千瓦庄河抽水蓄能电站项目建设，</w:t>
      </w:r>
      <w:r>
        <w:rPr>
          <w:rFonts w:hint="eastAsia" w:ascii="仿宋_GB2312" w:hAnsi="仿宋_GB2312" w:eastAsia="仿宋_GB2312" w:cs="仿宋_GB2312"/>
          <w:color w:val="auto"/>
          <w:kern w:val="2"/>
          <w:sz w:val="32"/>
          <w:szCs w:val="32"/>
          <w:highlight w:val="none"/>
          <w:u w:val="none" w:color="auto"/>
          <w:lang w:val="en-US" w:eastAsia="zh-CN" w:bidi="ar-SA"/>
        </w:rPr>
        <w:t>谋划建设新型储能电站</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。“十五五”期间，装机总容量力争达到500万千瓦。</w:t>
      </w:r>
    </w:p>
    <w:p>
      <w:pPr>
        <w:pageBreakBefore w:val="0"/>
        <w:widowControl w:val="0"/>
        <w:kinsoku/>
        <w:wordWrap/>
        <w:overflowPunct/>
        <w:topLinePunct w:val="0"/>
        <w:autoSpaceDE/>
        <w:autoSpaceDN/>
        <w:bidi w:val="0"/>
        <w:spacing w:line="600" w:lineRule="exact"/>
        <w:ind w:firstLine="642" w:firstLineChars="200"/>
        <w:jc w:val="both"/>
        <w:textAlignment w:val="auto"/>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pPr>
      <w:r>
        <w:rPr>
          <w:rFonts w:hint="eastAsia"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t>着力完善清洁能源产业链。</w:t>
      </w:r>
      <w:r>
        <w:rPr>
          <w:rFonts w:hint="eastAsia" w:ascii="仿宋_GB2312" w:hAnsi="仿宋_GB2312" w:eastAsia="仿宋_GB2312" w:cs="仿宋_GB2312"/>
          <w:b w:val="0"/>
          <w:bCs w:val="0"/>
          <w:color w:val="auto"/>
          <w:kern w:val="2"/>
          <w:sz w:val="32"/>
          <w:szCs w:val="32"/>
          <w:highlight w:val="none"/>
          <w:u w:val="none" w:color="auto"/>
          <w:lang w:val="en-US" w:eastAsia="zh-CN" w:bidi="ar-SA"/>
        </w:rPr>
        <w:t>推动清洁能源产业链向能源装备制造、运维服务和能源消纳等方向延伸。</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聚焦全钒液流电池和离子电池两大技术路线，强化储能新材料研发生产和储能关键装备制造，推动储能产业向价值链高端迈进。做好核电（绿能）产业园招商引资和运营管理。探索布局绿电氢能项目，有序推动绿电直联，谋划建设零碳园区，探索“绿电－制氢－制氨醇”链条式科学发展模式。推动“新能源＋”产业融合发展。</w:t>
      </w:r>
    </w:p>
    <w:p>
      <w:pPr>
        <w:pageBreakBefore w:val="0"/>
        <w:widowControl w:val="0"/>
        <w:kinsoku/>
        <w:wordWrap/>
        <w:overflowPunct/>
        <w:topLinePunct w:val="0"/>
        <w:autoSpaceDE/>
        <w:autoSpaceDN/>
        <w:bidi w:val="0"/>
        <w:spacing w:line="600" w:lineRule="exact"/>
        <w:ind w:firstLine="642" w:firstLineChars="200"/>
        <w:jc w:val="both"/>
        <w:textAlignment w:val="auto"/>
        <w:rPr>
          <w:rFonts w:hint="eastAsia" w:ascii="仿宋_GB2312" w:hAnsi="仿宋_GB2312" w:eastAsia="仿宋_GB2312" w:cs="仿宋_GB2312"/>
          <w:bCs/>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t>发展新材料产业。</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依托</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北黄海经济开发区</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国家级新材料产业基地、国家级住宅产业化示范基地，完善新材料产业供应链、产业链，为企业集聚和产业发展创造良好的产业生态。积极引进精细化工科研成果，大力发展高分子化学材料、医药中间体和生物材料。推动陶瓷产品向清洁能源、医疗器械、机械设备等行业延伸。重点研发生产节能膜、可降解农用膜等功能膜产品。推进节能环保建筑材料及构配件生产基地建设。发展高端</w:t>
      </w:r>
      <w:r>
        <w:rPr>
          <w:rFonts w:hint="eastAsia" w:ascii="仿宋_GB2312" w:hAnsi="仿宋_GB2312" w:eastAsia="仿宋_GB2312" w:cs="仿宋_GB2312"/>
          <w:bCs/>
          <w:strike w:val="0"/>
          <w:dstrike w:val="0"/>
          <w:color w:val="auto"/>
          <w:sz w:val="32"/>
          <w:szCs w:val="32"/>
          <w:highlight w:val="none"/>
          <w:u w:val="none" w:color="auto"/>
          <w:shd w:val="clear" w:color="auto" w:fill="auto"/>
          <w:lang w:val="en-US" w:eastAsia="zh-CN"/>
        </w:rPr>
        <w:t>环保材料、节能墙体材料、新型绿色建筑配件、绿色化预制混凝土构件。</w:t>
      </w:r>
    </w:p>
    <w:p>
      <w:pPr>
        <w:pageBreakBefore w:val="0"/>
        <w:widowControl w:val="0"/>
        <w:kinsoku/>
        <w:wordWrap/>
        <w:overflowPunct/>
        <w:topLinePunct w:val="0"/>
        <w:autoSpaceDE/>
        <w:autoSpaceDN/>
        <w:bidi w:val="0"/>
        <w:spacing w:line="600" w:lineRule="exact"/>
        <w:ind w:firstLine="642" w:firstLineChars="200"/>
        <w:jc w:val="both"/>
        <w:textAlignment w:val="auto"/>
        <w:rPr>
          <w:rFonts w:hint="eastAsia" w:ascii="仿宋_GB2312" w:hAnsi="仿宋_GB2312" w:eastAsia="仿宋_GB2312" w:cs="仿宋_GB2312"/>
          <w:bCs/>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val="0"/>
          <w:strike w:val="0"/>
          <w:dstrike w:val="0"/>
          <w:color w:val="auto"/>
          <w:sz w:val="32"/>
          <w:szCs w:val="32"/>
          <w:highlight w:val="none"/>
          <w:u w:val="none" w:color="auto"/>
          <w:shd w:val="clear" w:color="auto" w:fill="auto"/>
          <w:lang w:val="en-US" w:eastAsia="zh-CN"/>
        </w:rPr>
        <w:t>发展绿色环保产业。</w:t>
      </w:r>
      <w:r>
        <w:rPr>
          <w:rFonts w:hint="eastAsia" w:ascii="仿宋_GB2312" w:hAnsi="仿宋_GB2312" w:eastAsia="仿宋_GB2312" w:cs="仿宋_GB2312"/>
          <w:bCs/>
          <w:strike w:val="0"/>
          <w:dstrike w:val="0"/>
          <w:color w:val="auto"/>
          <w:sz w:val="32"/>
          <w:szCs w:val="32"/>
          <w:highlight w:val="none"/>
          <w:u w:val="none" w:color="auto"/>
          <w:shd w:val="clear" w:color="auto" w:fill="auto"/>
          <w:lang w:val="en-US" w:eastAsia="zh-CN"/>
        </w:rPr>
        <w:t>布局船舶与汽车拆解、危险品无害化处理产业。推动建设锂电池回收及梯次利用项目，构建多方参与的回收网络，促进新能源汽车及电池拆解、循环利用产业集聚。加强与辽宁省精细化工协会及重要实验室合作，依托庄河能源产业基础优势，探索布局氢基能源项目。构建“回收</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w:t>
      </w:r>
      <w:r>
        <w:rPr>
          <w:rFonts w:hint="eastAsia" w:ascii="仿宋_GB2312" w:hAnsi="仿宋_GB2312" w:eastAsia="仿宋_GB2312" w:cs="仿宋_GB2312"/>
          <w:bCs/>
          <w:strike w:val="0"/>
          <w:dstrike w:val="0"/>
          <w:color w:val="auto"/>
          <w:sz w:val="32"/>
          <w:szCs w:val="32"/>
          <w:highlight w:val="none"/>
          <w:u w:val="none" w:color="auto"/>
          <w:shd w:val="clear" w:color="auto" w:fill="auto"/>
          <w:lang w:val="en-US" w:eastAsia="zh-CN"/>
        </w:rPr>
        <w:t>处理</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w:t>
      </w:r>
      <w:r>
        <w:rPr>
          <w:rFonts w:hint="eastAsia" w:ascii="仿宋_GB2312" w:hAnsi="仿宋_GB2312" w:eastAsia="仿宋_GB2312" w:cs="仿宋_GB2312"/>
          <w:bCs/>
          <w:strike w:val="0"/>
          <w:dstrike w:val="0"/>
          <w:color w:val="auto"/>
          <w:sz w:val="32"/>
          <w:szCs w:val="32"/>
          <w:highlight w:val="none"/>
          <w:u w:val="none" w:color="auto"/>
          <w:shd w:val="clear" w:color="auto" w:fill="auto"/>
          <w:lang w:val="en-US" w:eastAsia="zh-CN"/>
        </w:rPr>
        <w:t>高值化再利用”完整产业链。</w:t>
      </w:r>
    </w:p>
    <w:p>
      <w:pPr>
        <w:pageBreakBefore w:val="0"/>
        <w:widowControl w:val="0"/>
        <w:kinsoku/>
        <w:wordWrap/>
        <w:overflowPunct/>
        <w:topLinePunct w:val="0"/>
        <w:autoSpaceDE/>
        <w:autoSpaceDN/>
        <w:bidi w:val="0"/>
        <w:spacing w:line="600" w:lineRule="exact"/>
        <w:ind w:firstLine="642" w:firstLineChars="200"/>
        <w:jc w:val="both"/>
        <w:textAlignment w:val="auto"/>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pPr>
      <w:r>
        <w:rPr>
          <w:rFonts w:hint="eastAsia"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t>壮大低空经济产业。</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构建“特色场景＋基础保障＋产业协同”的低空经济发展模式。大力推广低空经济的市场应用，聚焦陆岛物流、城市管理、文化旅游、医疗卫生等领域，打造低空特色应用场景。推广无人机农业植保服务。</w:t>
      </w:r>
    </w:p>
    <w:p>
      <w:pPr>
        <w:pageBreakBefore w:val="0"/>
        <w:widowControl w:val="0"/>
        <w:kinsoku/>
        <w:wordWrap/>
        <w:overflowPunct/>
        <w:topLinePunct w:val="0"/>
        <w:autoSpaceDE/>
        <w:autoSpaceDN/>
        <w:bidi w:val="0"/>
        <w:spacing w:line="600" w:lineRule="exact"/>
        <w:ind w:firstLine="642" w:firstLineChars="200"/>
        <w:jc w:val="both"/>
        <w:textAlignment w:val="auto"/>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pPr>
      <w:r>
        <w:rPr>
          <w:rFonts w:hint="eastAsia"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t>完善数据产业布局。</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开展绿能产业链招商，探索引育人工智能、算力数据中心等产业。系统推进数字产业化和产业数字化，力争在人工智能、云计算、大数据、网络通信等关键领域实现突破。实施“数智强农”工程，建设庄河国家数字农业创新应用基地。推动服务业企业数字化转型，丰富文旅、医疗、教育、体育等线上服务应用供给。持续推动“数字庄河”建设迭代升级。</w:t>
      </w:r>
    </w:p>
    <w:p>
      <w:pPr>
        <w:pageBreakBefore w:val="0"/>
        <w:widowControl w:val="0"/>
        <w:kinsoku/>
        <w:wordWrap/>
        <w:overflowPunct/>
        <w:topLinePunct w:val="0"/>
        <w:autoSpaceDE/>
        <w:autoSpaceDN/>
        <w:bidi w:val="0"/>
        <w:spacing w:line="600" w:lineRule="exact"/>
        <w:ind w:firstLine="642" w:firstLineChars="200"/>
        <w:jc w:val="both"/>
        <w:textAlignment w:val="auto"/>
        <w:rPr>
          <w:rFonts w:hint="eastAsia" w:ascii="仿宋_GB2312" w:hAnsi="仿宋_GB2312" w:eastAsia="仿宋_GB2312" w:cs="仿宋_GB2312"/>
          <w:bCs/>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val="0"/>
          <w:strike w:val="0"/>
          <w:dstrike w:val="0"/>
          <w:color w:val="auto"/>
          <w:sz w:val="32"/>
          <w:szCs w:val="32"/>
          <w:highlight w:val="none"/>
          <w:u w:val="none" w:color="auto"/>
          <w:shd w:val="clear" w:color="auto" w:fill="auto"/>
          <w:lang w:val="en-US" w:eastAsia="zh-CN"/>
        </w:rPr>
        <w:t>积极布局生命健康等蓝海产业。</w:t>
      </w:r>
      <w:r>
        <w:rPr>
          <w:rFonts w:hint="eastAsia" w:ascii="仿宋_GB2312" w:hAnsi="仿宋_GB2312" w:eastAsia="仿宋_GB2312" w:cs="仿宋_GB2312"/>
          <w:bCs/>
          <w:strike w:val="0"/>
          <w:dstrike w:val="0"/>
          <w:color w:val="auto"/>
          <w:sz w:val="32"/>
          <w:szCs w:val="32"/>
          <w:highlight w:val="none"/>
          <w:u w:val="none" w:color="auto"/>
          <w:shd w:val="clear" w:color="auto" w:fill="auto"/>
          <w:lang w:val="en-US" w:eastAsia="zh-CN"/>
        </w:rPr>
        <w:t>鼓励现有生物制药企业加大技术创新力度，扩大产业规模，吸引生物制药产业链企业向</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北黄海经济开发区</w:t>
      </w:r>
      <w:r>
        <w:rPr>
          <w:rFonts w:hint="eastAsia" w:ascii="仿宋_GB2312" w:hAnsi="仿宋_GB2312" w:eastAsia="仿宋_GB2312" w:cs="仿宋_GB2312"/>
          <w:bCs/>
          <w:strike w:val="0"/>
          <w:dstrike w:val="0"/>
          <w:color w:val="auto"/>
          <w:sz w:val="32"/>
          <w:szCs w:val="32"/>
          <w:highlight w:val="none"/>
          <w:u w:val="none" w:color="auto"/>
          <w:shd w:val="clear" w:color="auto" w:fill="auto"/>
          <w:lang w:val="en-US" w:eastAsia="zh-CN"/>
        </w:rPr>
        <w:t>集聚。引入互联网健康企业，探索搭建运动促进健康、医疗全过程服务平台，吸引相关数字医疗、医疗器械、健康保险等企业到庄河集聚发展，带动现有制造业企业开发智能化、人性化的医疗康养装备、体育运动器材等健康领域产品。</w:t>
      </w:r>
    </w:p>
    <w:p>
      <w:pPr>
        <w:pageBreakBefore w:val="0"/>
        <w:widowControl w:val="0"/>
        <w:kinsoku/>
        <w:wordWrap/>
        <w:overflowPunct/>
        <w:topLinePunct w:val="0"/>
        <w:autoSpaceDE/>
        <w:autoSpaceDN/>
        <w:bidi w:val="0"/>
        <w:spacing w:line="600" w:lineRule="exact"/>
        <w:ind w:firstLine="642" w:firstLineChars="200"/>
        <w:jc w:val="both"/>
        <w:textAlignment w:val="auto"/>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pPr>
      <w:r>
        <w:rPr>
          <w:rFonts w:hint="eastAsia"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t>结合实际探索布局未来产业。</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坚持一切从实际出发，根据庄河的资源禀赋、产业基础，依托大连科教资源条件，围绕未来科技产业化与重点领域未来化，选择细分赛道布局未来产业。培育引进面向未来的科创型企业，重点围绕能源、海洋开发、生物制造、未来材料等产业，构建全链条推动机制。坚持底线思维和负面清单管理，积极探索建立多方参与、有效协同，具有庄河特色和彰显比较优势的未来产业发展路径和模式。</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00" w:type="dxa"/>
          </w:tcPr>
          <w:p>
            <w:pPr>
              <w:jc w:val="center"/>
              <w:rPr>
                <w:rFonts w:hint="eastAsia" w:ascii="黑体" w:hAnsi="黑体" w:eastAsia="黑体" w:cs="黑体"/>
                <w:strike w:val="0"/>
                <w:dstrike w:val="0"/>
                <w:color w:val="auto"/>
                <w:sz w:val="24"/>
                <w:szCs w:val="24"/>
                <w:highlight w:val="none"/>
                <w:u w:val="none" w:color="auto"/>
                <w:lang w:val="en-US" w:eastAsia="zh-CN"/>
              </w:rPr>
            </w:pPr>
            <w:r>
              <w:rPr>
                <w:rFonts w:hint="eastAsia" w:ascii="黑体" w:hAnsi="黑体" w:eastAsia="黑体" w:cs="黑体"/>
                <w:strike w:val="0"/>
                <w:dstrike w:val="0"/>
                <w:color w:val="auto"/>
                <w:sz w:val="24"/>
                <w:szCs w:val="24"/>
                <w:highlight w:val="none"/>
                <w:u w:val="none" w:color="auto"/>
                <w:lang w:val="en-US" w:eastAsia="zh-CN"/>
              </w:rPr>
              <w:t>专栏1 战略性新兴产业重点工程</w:t>
            </w:r>
          </w:p>
          <w:p>
            <w:pPr>
              <w:keepNext w:val="0"/>
              <w:keepLines w:val="0"/>
              <w:pageBreakBefore w:val="0"/>
              <w:widowControl w:val="0"/>
              <w:kinsoku/>
              <w:wordWrap/>
              <w:overflowPunct/>
              <w:topLinePunct w:val="0"/>
              <w:bidi w:val="0"/>
              <w:adjustRightInd/>
              <w:snapToGrid/>
              <w:spacing w:line="400" w:lineRule="exact"/>
              <w:textAlignment w:val="auto"/>
              <w:rPr>
                <w:rFonts w:hint="eastAsia"/>
                <w:strike w:val="0"/>
                <w:dstrike w:val="0"/>
                <w:color w:val="auto"/>
                <w:highlight w:val="none"/>
                <w:u w:val="none" w:color="auto"/>
                <w:lang w:val="en-US" w:eastAsia="zh-CN"/>
              </w:rPr>
            </w:pP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default"/>
                <w:b w:val="0"/>
                <w:bCs w:val="0"/>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cstheme="minorEastAsia"/>
                <w:b/>
                <w:bCs/>
                <w:strike w:val="0"/>
                <w:dstrike w:val="0"/>
                <w:color w:val="auto"/>
                <w:highlight w:val="none"/>
                <w:u w:val="none" w:color="auto"/>
                <w:lang w:val="en-US" w:eastAsia="zh-CN"/>
              </w:rPr>
              <w:t>清洁能源</w:t>
            </w:r>
            <w:r>
              <w:rPr>
                <w:rFonts w:hint="eastAsia" w:asciiTheme="minorHAnsi" w:eastAsiaTheme="minorEastAsia"/>
                <w:b/>
                <w:bCs/>
                <w:strike w:val="0"/>
                <w:dstrike w:val="0"/>
                <w:color w:val="auto"/>
                <w:highlight w:val="none"/>
                <w:u w:val="none" w:color="auto"/>
                <w:lang w:val="en-US" w:eastAsia="zh-CN"/>
              </w:rPr>
              <w:t>：</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1.海上风电。推动花园口Ⅱ海上风电项目建成并网，推进海上风电二期DL4、DL5、DL6项目建设，推动新增200万千瓦海上风电纳入</w:t>
            </w:r>
            <w:r>
              <w:rPr>
                <w:rFonts w:hint="eastAsia" w:asciiTheme="minorEastAsia" w:hAnsiTheme="minorEastAsia" w:cstheme="minorEastAsia"/>
                <w:b w:val="0"/>
                <w:bCs w:val="0"/>
                <w:strike w:val="0"/>
                <w:dstrike w:val="0"/>
                <w:color w:val="auto"/>
                <w:highlight w:val="none"/>
                <w:u w:val="none" w:color="auto"/>
                <w:lang w:val="en-US" w:eastAsia="zh-CN"/>
              </w:rPr>
              <w:t>上级</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海上风电规划，</w:t>
            </w:r>
            <w:r>
              <w:rPr>
                <w:rFonts w:hint="eastAsia" w:asciiTheme="minorEastAsia" w:hAnsiTheme="minorEastAsia" w:cstheme="minorEastAsia"/>
                <w:b w:val="0"/>
                <w:bCs w:val="0"/>
                <w:strike w:val="0"/>
                <w:dstrike w:val="0"/>
                <w:color w:val="auto"/>
                <w:highlight w:val="none"/>
                <w:u w:val="none" w:color="auto"/>
                <w:lang w:val="en-US" w:eastAsia="zh-CN"/>
              </w:rPr>
              <w:t>谋划建设陆上风电项目</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2.核电工程。全力推动庄河核电一期两台百万千瓦级机组全面开工，积极推动核电二期两台机组前期工作。3.调峰储能。加快100万千瓦的庄河抽水蓄能电站项目建设。4.滩涂光伏。有效利用庄河丰富的滩涂资源大力发展滩涂光伏发电项目。</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highlight w:val="none"/>
                <w:u w:val="none" w:color="auto"/>
                <w:lang w:val="en-US" w:eastAsia="zh-CN"/>
              </w:rPr>
              <w:t>新</w:t>
            </w:r>
            <w:r>
              <w:rPr>
                <w:rFonts w:hint="eastAsia" w:asciiTheme="minorEastAsia" w:hAnsiTheme="minorEastAsia" w:cstheme="minorEastAsia"/>
                <w:b/>
                <w:bCs/>
                <w:strike w:val="0"/>
                <w:dstrike w:val="0"/>
                <w:color w:val="auto"/>
                <w:highlight w:val="none"/>
                <w:u w:val="none" w:color="auto"/>
                <w:lang w:val="en-US" w:eastAsia="zh-CN"/>
              </w:rPr>
              <w:t>型储能：</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1.积极发展锂、钒电池储能设备，配套风电光伏产业建设化学能电站，打造清洁能源储能材料生产基地。2.推进高性能大圆柱40型锂离子电池智能化生产线建设项目、全钒液流电池双极板生产线项目、全钒液流电池电解液智能仓储项目。</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default" w:asciiTheme="minorEastAsia" w:hAnsiTheme="minorEastAsia" w:eastAsiaTheme="minorEastAsia" w:cstheme="minorEastAsia"/>
                <w:b/>
                <w:bCs/>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highlight w:val="none"/>
                <w:u w:val="none" w:color="auto"/>
                <w:lang w:val="en-US" w:eastAsia="zh-CN"/>
              </w:rPr>
              <w:t>新材料：</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1.高性能陶瓷材料。以发展高端特种陶瓷材料为重点，将陶瓷产品向清洁能源、新能源、医疗器械、机械设备行业延伸，逐步提升高性能陶瓷产业的档次和规模。</w:t>
            </w:r>
            <w:r>
              <w:rPr>
                <w:rFonts w:hint="eastAsia" w:asciiTheme="minorEastAsia" w:hAnsiTheme="minorEastAsia" w:cstheme="minorEastAsia"/>
                <w:b w:val="0"/>
                <w:bCs w:val="0"/>
                <w:strike w:val="0"/>
                <w:dstrike w:val="0"/>
                <w:color w:val="auto"/>
                <w:highlight w:val="none"/>
                <w:u w:val="none" w:color="auto"/>
                <w:lang w:val="en-US" w:eastAsia="zh-CN"/>
              </w:rPr>
              <w:t>2</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.先进膜材料。重点研发生产节能膜、可降解农用膜等功能膜产品，应用于汽车、建筑、现代农业等项目。</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asciiTheme="minorEastAsia" w:hAnsiTheme="minorEastAsia" w:eastAsiaTheme="minorEastAsia" w:cstheme="minorEastAsia"/>
                <w:b w:val="0"/>
                <w:bCs w:val="0"/>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highlight w:val="none"/>
                <w:u w:val="none" w:color="auto"/>
                <w:lang w:val="en-US" w:eastAsia="zh-CN"/>
              </w:rPr>
              <w:t>船舶拆解应用和汽车产业：</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1.船舶拆卸。打造“船舶拆解－零部件再利用－材料回收－再制造”产业链。2.汽车产业。推进中英产业园国检中心环境舱转鼓测试科研中心、碰撞测试科研中心项目，中英产业园国检中心新能源汽车测试科研中心及创新中心，中英（大连）先进制造产业示范园国家汽车质量监督检验中心智慧能源中心项目，大连国检中心汽车综合性能试验测试场项目，中英（大连）先进制造产业示范园国家汽车质量监督检验中心EMC测试科研中心项目。</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asciiTheme="minorEastAsia" w:hAnsiTheme="minorEastAsia" w:eastAsiaTheme="minorEastAsia" w:cstheme="minorEastAsia"/>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highlight w:val="none"/>
                <w:u w:val="none" w:color="auto"/>
                <w:lang w:val="en-US" w:eastAsia="zh-CN"/>
              </w:rPr>
              <w:t>零碳园区：</w:t>
            </w:r>
            <w:r>
              <w:rPr>
                <w:rFonts w:hint="eastAsia" w:asciiTheme="minorEastAsia" w:hAnsiTheme="minorEastAsia" w:eastAsiaTheme="minorEastAsia" w:cstheme="minorEastAsia"/>
                <w:strike w:val="0"/>
                <w:dstrike w:val="0"/>
                <w:color w:val="auto"/>
                <w:highlight w:val="none"/>
                <w:u w:val="none" w:color="auto"/>
                <w:lang w:val="en-US" w:eastAsia="zh-CN"/>
              </w:rPr>
              <w:t>依托北黄海经济开发区，探索绿电直连赋能制造业，引入低能耗、低污染、高附加值的企业，大幅提高清洁能源使用比例，加快用能结构转型，将能源富集优势转化为产业发展优势。</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asciiTheme="minorEastAsia" w:hAnsiTheme="minorEastAsia" w:eastAsiaTheme="minorEastAsia" w:cstheme="minorEastAsia"/>
                <w:b w:val="0"/>
                <w:bCs w:val="0"/>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highlight w:val="none"/>
                <w:u w:val="none" w:color="auto"/>
                <w:lang w:val="en-US" w:eastAsia="zh-CN"/>
              </w:rPr>
              <w:t>低空经济：</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推进庄河市低空运输起降点建设工程，按照大连市低空经济起降点统一布局，庄河规划建设</w:t>
            </w:r>
            <w:r>
              <w:rPr>
                <w:rFonts w:hint="eastAsia" w:asciiTheme="minorEastAsia" w:hAnsiTheme="minorEastAsia" w:cstheme="minorEastAsia"/>
                <w:b w:val="0"/>
                <w:bCs w:val="0"/>
                <w:strike w:val="0"/>
                <w:dstrike w:val="0"/>
                <w:color w:val="auto"/>
                <w:highlight w:val="none"/>
                <w:u w:val="none" w:color="auto"/>
                <w:lang w:val="en-US" w:eastAsia="zh-CN"/>
              </w:rPr>
              <w:t>41</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个起降点。</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asciiTheme="minorEastAsia" w:hAnsiTheme="minorEastAsia" w:eastAsiaTheme="minorEastAsia" w:cstheme="minorEastAsia"/>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kern w:val="2"/>
                <w:sz w:val="21"/>
                <w:szCs w:val="24"/>
                <w:highlight w:val="none"/>
                <w:u w:val="none" w:color="auto"/>
                <w:lang w:val="en-US" w:eastAsia="zh-CN" w:bidi="ar-SA"/>
              </w:rPr>
              <w:t>未来信息：</w:t>
            </w:r>
            <w:r>
              <w:rPr>
                <w:rFonts w:hint="eastAsia" w:asciiTheme="minorEastAsia" w:hAnsiTheme="minorEastAsia" w:eastAsiaTheme="minorEastAsia" w:cstheme="minorEastAsia"/>
                <w:strike w:val="0"/>
                <w:dstrike w:val="0"/>
                <w:color w:val="auto"/>
                <w:highlight w:val="none"/>
                <w:u w:val="none" w:color="auto"/>
                <w:lang w:val="en-US" w:eastAsia="zh-CN"/>
              </w:rPr>
              <w:t>依托能源优势，在大力培育大数据、人工智能产业生态同时，鼓励发展生成式人工智能、工业元宇宙等技术，前瞻谋划具身智能机器人、脑机接口等领域，推进创新成果应用。</w:t>
            </w:r>
          </w:p>
          <w:p>
            <w:pPr>
              <w:keepNext w:val="0"/>
              <w:keepLines w:val="0"/>
              <w:pageBreakBefore w:val="0"/>
              <w:widowControl w:val="0"/>
              <w:numPr>
                <w:ilvl w:val="0"/>
                <w:numId w:val="0"/>
              </w:numPr>
              <w:kinsoku/>
              <w:wordWrap/>
              <w:overflowPunct/>
              <w:topLinePunct w:val="0"/>
              <w:bidi w:val="0"/>
              <w:adjustRightInd/>
              <w:snapToGrid/>
              <w:spacing w:line="400" w:lineRule="exact"/>
              <w:ind w:firstLine="420" w:firstLineChars="200"/>
              <w:textAlignment w:val="auto"/>
              <w:rPr>
                <w:rFonts w:hint="eastAsia" w:asciiTheme="minorEastAsia" w:hAnsiTheme="minorEastAsia" w:eastAsiaTheme="minorEastAsia" w:cstheme="minorEastAsia"/>
                <w:b w:val="0"/>
                <w:bCs w:val="0"/>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highlight w:val="none"/>
                <w:u w:val="none" w:color="auto"/>
                <w:lang w:val="en-US" w:eastAsia="zh-CN"/>
              </w:rPr>
              <w:t>人工智能和算力产业：</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抢抓新一轮技术和数字变革机遇，充分发挥绿能优势，加大通用算力、AI算力等数据中心和人工智能项目招引力度，推动零碳AI产业园等项目落地庄河，深度推动云计算、大数据、物联网、人工智能、区块链、5G、VR/AR等新一代信息技术向各行业、各领域广泛渗透应用。</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strike w:val="0"/>
                <w:dstrike w:val="0"/>
                <w:color w:val="auto"/>
                <w:highlight w:val="none"/>
                <w:u w:val="none" w:color="auto"/>
                <w:shd w:val="clear" w:color="auto" w:fill="auto"/>
                <w:vertAlign w:val="baseline"/>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kern w:val="2"/>
                <w:sz w:val="21"/>
                <w:szCs w:val="24"/>
                <w:highlight w:val="none"/>
                <w:u w:val="none" w:color="auto"/>
                <w:lang w:val="en-US" w:eastAsia="zh-CN" w:bidi="ar-SA"/>
              </w:rPr>
              <w:t>未来能源：</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按照“技术创新－前瞻识别－成果转化”的思路</w:t>
            </w:r>
            <w:r>
              <w:rPr>
                <w:rFonts w:hint="eastAsia" w:asciiTheme="minorEastAsia" w:hAnsiTheme="minorEastAsia" w:eastAsiaTheme="minorEastAsia" w:cstheme="minorEastAsia"/>
                <w:strike w:val="0"/>
                <w:dstrike w:val="0"/>
                <w:color w:val="auto"/>
                <w:highlight w:val="none"/>
                <w:u w:val="none" w:color="auto"/>
                <w:lang w:val="en-US" w:eastAsia="zh-CN"/>
              </w:rPr>
              <w:t>，聚焦核能、核聚变、氢能、生物质能等重点领域，</w:t>
            </w:r>
            <w:r>
              <w:rPr>
                <w:rFonts w:hint="eastAsia" w:asciiTheme="minorEastAsia" w:hAnsiTheme="minorEastAsia" w:cstheme="minorEastAsia"/>
                <w:strike w:val="0"/>
                <w:dstrike w:val="0"/>
                <w:color w:val="auto"/>
                <w:highlight w:val="none"/>
                <w:u w:val="none" w:color="auto"/>
                <w:lang w:val="en-US" w:eastAsia="zh-CN"/>
              </w:rPr>
              <w:t>探索</w:t>
            </w:r>
            <w:r>
              <w:rPr>
                <w:rFonts w:hint="eastAsia" w:asciiTheme="minorEastAsia" w:hAnsiTheme="minorEastAsia" w:eastAsiaTheme="minorEastAsia" w:cstheme="minorEastAsia"/>
                <w:strike w:val="0"/>
                <w:dstrike w:val="0"/>
                <w:color w:val="auto"/>
                <w:highlight w:val="none"/>
                <w:u w:val="none" w:color="auto"/>
                <w:lang w:val="en-US" w:eastAsia="zh-CN"/>
              </w:rPr>
              <w:t>打造“采集－存储－运输－应用”全链条的未来能源体系。</w:t>
            </w:r>
          </w:p>
        </w:tc>
      </w:tr>
    </w:tbl>
    <w:p>
      <w:pPr>
        <w:pStyle w:val="4"/>
        <w:pageBreakBefore w:val="0"/>
        <w:widowControl w:val="0"/>
        <w:kinsoku/>
        <w:wordWrap/>
        <w:overflowPunct/>
        <w:topLinePunct w:val="0"/>
        <w:autoSpaceDE/>
        <w:autoSpaceDN/>
        <w:bidi w:val="0"/>
        <w:spacing w:line="600" w:lineRule="exact"/>
        <w:textAlignment w:val="auto"/>
        <w:rPr>
          <w:rFonts w:hint="default" w:ascii="楷体_GB2312" w:hAnsi="楷体_GB2312" w:eastAsia="楷体_GB2312" w:cs="楷体_GB2312"/>
          <w:b/>
          <w:bCs/>
          <w:strike w:val="0"/>
          <w:dstrike w:val="0"/>
          <w:color w:val="auto"/>
          <w:sz w:val="32"/>
          <w:szCs w:val="32"/>
          <w:highlight w:val="none"/>
          <w:u w:val="none" w:color="auto"/>
          <w:shd w:val="clear" w:color="auto" w:fill="auto"/>
          <w:lang w:val="en-US" w:eastAsia="zh-CN"/>
        </w:rPr>
      </w:pPr>
      <w:bookmarkStart w:id="97" w:name="_Toc173215860"/>
      <w:r>
        <w:rPr>
          <w:rFonts w:hint="eastAsia"/>
          <w:strike w:val="0"/>
          <w:dstrike w:val="0"/>
          <w:color w:val="auto"/>
          <w:sz w:val="32"/>
          <w:szCs w:val="32"/>
          <w:highlight w:val="none"/>
          <w:u w:val="none" w:color="auto"/>
          <w:shd w:val="clear" w:color="auto" w:fill="auto"/>
          <w:lang w:val="en-US" w:eastAsia="zh-CN"/>
        </w:rPr>
        <w:t>第三节 促进服务经济提质扩能</w:t>
      </w:r>
      <w:bookmarkEnd w:id="97"/>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eastAsia="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t>推动生产性服务业提质增效。</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加强物流基础设施建设，完善以港口为中心节点的集疏运体系建设，</w:t>
      </w:r>
      <w:r>
        <w:rPr>
          <w:rFonts w:hint="eastAsia" w:ascii="仿宋_GB2312" w:eastAsia="仿宋_GB2312"/>
          <w:strike w:val="0"/>
          <w:dstrike w:val="0"/>
          <w:color w:val="auto"/>
          <w:sz w:val="32"/>
          <w:szCs w:val="32"/>
          <w:highlight w:val="none"/>
          <w:u w:val="none" w:color="auto"/>
          <w:shd w:val="clear" w:color="auto" w:fill="auto"/>
          <w:lang w:val="en-US" w:eastAsia="zh-CN"/>
        </w:rPr>
        <w:t>补齐</w:t>
      </w:r>
      <w:r>
        <w:rPr>
          <w:rFonts w:hint="eastAsia" w:ascii="仿宋_GB2312" w:eastAsia="仿宋_GB2312"/>
          <w:strike w:val="0"/>
          <w:dstrike w:val="0"/>
          <w:color w:val="auto"/>
          <w:sz w:val="32"/>
          <w:szCs w:val="32"/>
          <w:highlight w:val="none"/>
          <w:u w:val="none" w:color="auto"/>
          <w:shd w:val="clear" w:color="auto" w:fill="auto"/>
        </w:rPr>
        <w:t>陆海物流通道</w:t>
      </w:r>
      <w:r>
        <w:rPr>
          <w:rFonts w:hint="eastAsia" w:ascii="仿宋_GB2312" w:eastAsia="仿宋_GB2312"/>
          <w:strike w:val="0"/>
          <w:dstrike w:val="0"/>
          <w:color w:val="auto"/>
          <w:sz w:val="32"/>
          <w:szCs w:val="32"/>
          <w:highlight w:val="none"/>
          <w:u w:val="none" w:color="auto"/>
          <w:shd w:val="clear" w:color="auto" w:fill="auto"/>
          <w:lang w:val="en-US" w:eastAsia="zh-CN"/>
        </w:rPr>
        <w:t>短板</w:t>
      </w:r>
      <w:r>
        <w:rPr>
          <w:rFonts w:hint="eastAsia" w:ascii="仿宋_GB2312" w:eastAsia="仿宋_GB2312"/>
          <w:strike w:val="0"/>
          <w:dstrike w:val="0"/>
          <w:color w:val="auto"/>
          <w:sz w:val="32"/>
          <w:szCs w:val="32"/>
          <w:highlight w:val="none"/>
          <w:u w:val="none" w:color="auto"/>
          <w:shd w:val="clear" w:color="auto" w:fill="auto"/>
          <w:lang w:eastAsia="zh-CN"/>
        </w:rPr>
        <w:t>。大力发展专业物流，重点开发水产品、</w:t>
      </w:r>
      <w:r>
        <w:rPr>
          <w:rFonts w:hint="eastAsia" w:ascii="仿宋_GB2312" w:eastAsia="仿宋_GB2312"/>
          <w:strike w:val="0"/>
          <w:dstrike w:val="0"/>
          <w:color w:val="auto"/>
          <w:sz w:val="32"/>
          <w:szCs w:val="32"/>
          <w:highlight w:val="none"/>
          <w:u w:val="none" w:color="auto"/>
          <w:shd w:val="clear" w:color="auto" w:fill="auto"/>
          <w:lang w:val="en-US" w:eastAsia="zh-CN"/>
        </w:rPr>
        <w:t>农产品</w:t>
      </w:r>
      <w:r>
        <w:rPr>
          <w:rFonts w:hint="eastAsia" w:ascii="仿宋_GB2312" w:eastAsia="仿宋_GB2312"/>
          <w:strike w:val="0"/>
          <w:dstrike w:val="0"/>
          <w:color w:val="auto"/>
          <w:sz w:val="32"/>
          <w:szCs w:val="32"/>
          <w:highlight w:val="none"/>
          <w:u w:val="none" w:color="auto"/>
          <w:shd w:val="clear" w:color="auto" w:fill="auto"/>
          <w:lang w:eastAsia="zh-CN"/>
        </w:rPr>
        <w:t>及矿产品等优势货种。</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积极发展金融服务业</w:t>
      </w:r>
      <w:r>
        <w:rPr>
          <w:rFonts w:hint="eastAsia" w:ascii="仿宋_GB2312" w:eastAsia="仿宋_GB2312"/>
          <w:strike w:val="0"/>
          <w:dstrike w:val="0"/>
          <w:color w:val="auto"/>
          <w:sz w:val="32"/>
          <w:szCs w:val="32"/>
          <w:highlight w:val="none"/>
          <w:u w:val="none" w:color="auto"/>
          <w:shd w:val="clear" w:color="auto" w:fill="auto"/>
          <w:lang w:val="en-US" w:eastAsia="zh-CN"/>
        </w:rPr>
        <w:t>。大力发展科技服务业，建立涵盖技术转移、检验检测认证、创业孵化、知识产权、科技金融等方面服务体系。持续加强计量、标准、认证认可和检验检测等质量基础设施建设，提升专业服务能力，大力开展质量基础设施“一站式”服务。夯实质量监管基础，依法严惩制售假冒伪劣商品、侵犯知识产权、重点领域产品质量违法等行为，筑牢质量安全底线。</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eastAsia="仿宋_GB2312"/>
          <w:strike w:val="0"/>
          <w:dstrike w:val="0"/>
          <w:color w:val="auto"/>
          <w:sz w:val="32"/>
          <w:szCs w:val="32"/>
          <w:highlight w:val="none"/>
          <w:u w:val="none" w:color="auto"/>
          <w:shd w:val="clear" w:color="auto" w:fill="auto"/>
          <w:lang w:val="en-US" w:eastAsia="zh-CN"/>
        </w:rPr>
      </w:pPr>
      <w:r>
        <w:rPr>
          <w:rFonts w:hint="eastAsia" w:ascii="仿宋_GB2312" w:eastAsia="仿宋_GB2312"/>
          <w:b/>
          <w:bCs/>
          <w:strike w:val="0"/>
          <w:dstrike w:val="0"/>
          <w:color w:val="auto"/>
          <w:sz w:val="32"/>
          <w:szCs w:val="32"/>
          <w:highlight w:val="none"/>
          <w:u w:val="none" w:color="auto"/>
          <w:shd w:val="clear" w:color="auto" w:fill="auto"/>
          <w:lang w:val="en-US" w:eastAsia="zh-CN"/>
        </w:rPr>
        <w:t>推动生活性服务业高品质多样化发展。</w:t>
      </w:r>
      <w:r>
        <w:rPr>
          <w:rFonts w:hint="eastAsia" w:ascii="仿宋_GB2312" w:eastAsia="仿宋_GB2312"/>
          <w:strike w:val="0"/>
          <w:dstrike w:val="0"/>
          <w:color w:val="auto"/>
          <w:sz w:val="32"/>
          <w:szCs w:val="32"/>
          <w:highlight w:val="none"/>
          <w:u w:val="none" w:color="auto"/>
          <w:shd w:val="clear" w:color="auto" w:fill="auto"/>
          <w:lang w:val="en-US" w:eastAsia="zh-CN"/>
        </w:rPr>
        <w:t>鼓励发展针对个性化需求的定制服务，积极应对老龄化趋势，充分利用山海、医疗、康养资源，高质量构建健康养老产业体系，打造东北地区重要的健康养老服务基地。促进传统商贸与新兴业态互促发展，打造新业态、高能级、集聚型综合商贸载体。引导和支持社会资本进入服务消费领域，推动商贸餐饮、旅游休闲、文化创意、健康养老等服务消费提质扩容。在旅游、家政、康养等重点领域塑造“庄河标准”，培育一批国内一流的服务品牌。</w:t>
      </w:r>
    </w:p>
    <w:p>
      <w:pPr>
        <w:pageBreakBefore w:val="0"/>
        <w:widowControl w:val="0"/>
        <w:kinsoku/>
        <w:wordWrap/>
        <w:overflowPunct/>
        <w:topLinePunct w:val="0"/>
        <w:autoSpaceDE/>
        <w:autoSpaceDN/>
        <w:bidi w:val="0"/>
        <w:spacing w:line="600" w:lineRule="exact"/>
        <w:ind w:firstLine="642" w:firstLineChars="200"/>
        <w:jc w:val="both"/>
        <w:textAlignment w:val="auto"/>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pPr>
      <w:r>
        <w:rPr>
          <w:rFonts w:hint="eastAsia"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t>深化现代服务业与先进制造业、现代农业融合发展。</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加快推动制造业服务化转型，引导制造业企业向创意孵化、研发设计、售后服务等产业链两端延伸。加快推动服务业制造化，鼓励服务业企业提供现代供应链、产品生命周期管理、现代物流等功能服务，强化服务业对制造业的引领和支撑作用。大力发展“互联网＋”、电子商务等新业态，加强与水产加工、装备制造、清洁能源等优势产业融合发展。推动“制造业集聚区”向“生产性服务业集聚区”发展。鼓励企业、行业协会、专业机构等创新合作方式，构建深度融合、互惠共赢的产业发展生态圈。</w:t>
      </w:r>
    </w:p>
    <w:p>
      <w:pPr>
        <w:pStyle w:val="4"/>
        <w:pageBreakBefore w:val="0"/>
        <w:widowControl w:val="0"/>
        <w:kinsoku/>
        <w:wordWrap/>
        <w:overflowPunct/>
        <w:topLinePunct w:val="0"/>
        <w:autoSpaceDE/>
        <w:autoSpaceDN/>
        <w:bidi w:val="0"/>
        <w:spacing w:line="600" w:lineRule="exact"/>
        <w:textAlignment w:val="auto"/>
        <w:rPr>
          <w:rFonts w:hint="default"/>
          <w:strike w:val="0"/>
          <w:dstrike w:val="0"/>
          <w:color w:val="auto"/>
          <w:sz w:val="32"/>
          <w:szCs w:val="32"/>
          <w:highlight w:val="none"/>
          <w:u w:val="none" w:color="auto"/>
          <w:shd w:val="clear" w:color="auto" w:fill="auto"/>
          <w:lang w:val="en-US" w:eastAsia="zh-CN"/>
        </w:rPr>
      </w:pPr>
      <w:bookmarkStart w:id="98" w:name="_Toc579994938"/>
      <w:r>
        <w:rPr>
          <w:rFonts w:hint="default"/>
          <w:strike w:val="0"/>
          <w:dstrike w:val="0"/>
          <w:color w:val="auto"/>
          <w:sz w:val="32"/>
          <w:szCs w:val="32"/>
          <w:highlight w:val="none"/>
          <w:u w:val="none" w:color="auto"/>
          <w:shd w:val="clear" w:color="auto" w:fill="auto"/>
          <w:lang w:val="en-US" w:eastAsia="zh-CN"/>
        </w:rPr>
        <w:t>第</w:t>
      </w:r>
      <w:r>
        <w:rPr>
          <w:rFonts w:hint="eastAsia"/>
          <w:strike w:val="0"/>
          <w:dstrike w:val="0"/>
          <w:color w:val="auto"/>
          <w:sz w:val="32"/>
          <w:szCs w:val="32"/>
          <w:highlight w:val="none"/>
          <w:u w:val="none" w:color="auto"/>
          <w:shd w:val="clear" w:color="auto" w:fill="auto"/>
          <w:lang w:val="en-US" w:eastAsia="zh-CN"/>
        </w:rPr>
        <w:t>四</w:t>
      </w:r>
      <w:r>
        <w:rPr>
          <w:rFonts w:hint="default"/>
          <w:strike w:val="0"/>
          <w:dstrike w:val="0"/>
          <w:color w:val="auto"/>
          <w:sz w:val="32"/>
          <w:szCs w:val="32"/>
          <w:highlight w:val="none"/>
          <w:u w:val="none" w:color="auto"/>
          <w:shd w:val="clear" w:color="auto" w:fill="auto"/>
          <w:lang w:val="en-US" w:eastAsia="zh-CN"/>
        </w:rPr>
        <w:t xml:space="preserve">节 </w:t>
      </w:r>
      <w:r>
        <w:rPr>
          <w:rFonts w:hint="eastAsia"/>
          <w:strike w:val="0"/>
          <w:dstrike w:val="0"/>
          <w:color w:val="auto"/>
          <w:sz w:val="32"/>
          <w:szCs w:val="32"/>
          <w:highlight w:val="none"/>
          <w:u w:val="none" w:color="auto"/>
          <w:shd w:val="clear" w:color="auto" w:fill="auto"/>
          <w:lang w:val="en-US" w:eastAsia="zh-CN"/>
        </w:rPr>
        <w:t>完善产业发展保障体系</w:t>
      </w:r>
      <w:bookmarkEnd w:id="98"/>
    </w:p>
    <w:p>
      <w:pPr>
        <w:pageBreakBefore w:val="0"/>
        <w:widowControl w:val="0"/>
        <w:kinsoku/>
        <w:wordWrap/>
        <w:overflowPunct/>
        <w:topLinePunct w:val="0"/>
        <w:autoSpaceDE/>
        <w:autoSpaceDN/>
        <w:bidi w:val="0"/>
        <w:spacing w:line="600" w:lineRule="exact"/>
        <w:ind w:firstLine="642" w:firstLineChars="200"/>
        <w:jc w:val="both"/>
        <w:textAlignment w:val="auto"/>
        <w:rPr>
          <w:rFonts w:hint="default"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pPr>
      <w:r>
        <w:rPr>
          <w:rFonts w:hint="eastAsia"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t>坚持市场配置与政府引导协同发力。</w:t>
      </w:r>
      <w:r>
        <w:rPr>
          <w:rFonts w:hint="default"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聚焦产业链短板和关键环节，制定产业集群招商指导目录，编制产业招商</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图谱</w:t>
      </w:r>
      <w:r>
        <w:rPr>
          <w:rFonts w:hint="default"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，为产业链招商提供精准</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指引</w:t>
      </w:r>
      <w:r>
        <w:rPr>
          <w:rFonts w:hint="default"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。围绕新能源、</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新材料、海洋经济、装备制造和文旅康养</w:t>
      </w:r>
      <w:r>
        <w:rPr>
          <w:rFonts w:hint="default"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等重点产业，</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加大产业和资源推介，</w:t>
      </w:r>
      <w:r>
        <w:rPr>
          <w:rFonts w:hint="default"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着力引进一批</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w:t>
      </w:r>
      <w:r>
        <w:rPr>
          <w:rFonts w:hint="default"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强链</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w:t>
      </w:r>
      <w:r>
        <w:rPr>
          <w:rFonts w:hint="default"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项目，集聚一批根植</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庄河</w:t>
      </w:r>
      <w:r>
        <w:rPr>
          <w:rFonts w:hint="default"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的行业领军企业。强化招商引资统筹机制，引导全市范围招商引资良性竞争，凝聚共促产业高质量发展的强大合力</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w:t>
      </w:r>
    </w:p>
    <w:p>
      <w:pPr>
        <w:pageBreakBefore w:val="0"/>
        <w:widowControl w:val="0"/>
        <w:kinsoku/>
        <w:wordWrap/>
        <w:overflowPunct/>
        <w:topLinePunct w:val="0"/>
        <w:autoSpaceDE/>
        <w:autoSpaceDN/>
        <w:bidi w:val="0"/>
        <w:spacing w:line="600" w:lineRule="exact"/>
        <w:ind w:firstLine="642" w:firstLineChars="200"/>
        <w:jc w:val="both"/>
        <w:textAlignment w:val="auto"/>
        <w:rPr>
          <w:rFonts w:hint="eastAsia" w:ascii="宋体" w:hAnsi="宋体" w:eastAsia="黑体" w:cs="Times New Roman"/>
          <w:strike w:val="0"/>
          <w:dstrike w:val="0"/>
          <w:color w:val="auto"/>
          <w:kern w:val="2"/>
          <w:sz w:val="32"/>
          <w:szCs w:val="32"/>
          <w:highlight w:val="none"/>
          <w:u w:val="none" w:color="auto"/>
          <w:shd w:val="clear" w:color="auto" w:fill="auto"/>
          <w:lang w:val="en-US" w:eastAsia="zh-CN" w:bidi="ar-SA"/>
        </w:rPr>
      </w:pPr>
      <w:r>
        <w:rPr>
          <w:rFonts w:hint="eastAsia"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t>坚持产业扶持与企业培育协同发力。</w:t>
      </w:r>
      <w:r>
        <w:rPr>
          <w:rFonts w:hint="default"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强化要素资源供给和服务保障</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，更好发挥政策、人才、资金、技术等要素对产业发展的支撑作用。</w:t>
      </w:r>
      <w:r>
        <w:rPr>
          <w:rFonts w:hint="default"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创新行业监管方式，为各类市场主体发展创造更大空间。深化产业链合作机制，推动产业链、创新链、生态链融通发展，实现产业共育与利益共享。加强金融支持，强化产融合作，加大产业基金</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争取</w:t>
      </w:r>
      <w:r>
        <w:rPr>
          <w:rFonts w:hint="default"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力度，积极吸引社会资本参与</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产业发展。</w:t>
      </w:r>
    </w:p>
    <w:p>
      <w:pPr>
        <w:pStyle w:val="3"/>
        <w:keepNext/>
        <w:keepLines/>
        <w:pageBreakBefore w:val="0"/>
        <w:widowControl w:val="0"/>
        <w:kinsoku/>
        <w:wordWrap/>
        <w:overflowPunct/>
        <w:topLinePunct w:val="0"/>
        <w:autoSpaceDE/>
        <w:autoSpaceDN/>
        <w:bidi w:val="0"/>
        <w:adjustRightInd/>
        <w:snapToGrid/>
        <w:spacing w:line="600" w:lineRule="exact"/>
        <w:textAlignment w:val="auto"/>
        <w:rPr>
          <w:rFonts w:hint="eastAsia"/>
          <w:strike w:val="0"/>
          <w:dstrike w:val="0"/>
          <w:color w:val="auto"/>
          <w:sz w:val="32"/>
          <w:szCs w:val="32"/>
          <w:highlight w:val="none"/>
          <w:u w:val="none" w:color="auto"/>
          <w:shd w:val="clear" w:color="auto" w:fill="auto"/>
          <w:lang w:val="en-US" w:eastAsia="zh-CN"/>
        </w:rPr>
      </w:pPr>
      <w:bookmarkStart w:id="99" w:name="_Toc272514125"/>
      <w:r>
        <w:rPr>
          <w:rFonts w:hint="eastAsia"/>
          <w:strike w:val="0"/>
          <w:dstrike w:val="0"/>
          <w:color w:val="auto"/>
          <w:sz w:val="32"/>
          <w:szCs w:val="32"/>
          <w:highlight w:val="none"/>
          <w:u w:val="none" w:color="auto"/>
          <w:shd w:val="clear" w:color="auto" w:fill="auto"/>
          <w:lang w:val="en-US" w:eastAsia="zh-CN"/>
        </w:rPr>
        <w:t>第五章 以科技创新引领产业创新，因地制宜发展新质生产力</w:t>
      </w:r>
      <w:bookmarkEnd w:id="99"/>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eastAsia="仿宋_GB2312"/>
          <w:strike w:val="0"/>
          <w:dstrike w:val="0"/>
          <w:color w:val="auto"/>
          <w:sz w:val="32"/>
          <w:szCs w:val="32"/>
          <w:highlight w:val="none"/>
          <w:u w:val="none" w:color="auto"/>
          <w:shd w:val="clear" w:color="auto" w:fill="auto"/>
          <w:lang w:val="en-US" w:eastAsia="zh-CN"/>
        </w:rPr>
      </w:pPr>
      <w:r>
        <w:rPr>
          <w:rFonts w:hint="eastAsia" w:eastAsia="仿宋_GB2312"/>
          <w:strike w:val="0"/>
          <w:dstrike w:val="0"/>
          <w:color w:val="auto"/>
          <w:sz w:val="32"/>
          <w:szCs w:val="32"/>
          <w:highlight w:val="none"/>
          <w:u w:val="none" w:color="auto"/>
          <w:shd w:val="clear" w:color="auto" w:fill="auto"/>
          <w:lang w:val="en-US" w:eastAsia="zh-CN"/>
        </w:rPr>
        <w:t>把创新作为引领发展的第一动力，坚持科技创新与制度创新双轮驱动、锻长板与补短板齐头并进，强化“基础研究、技术创新、成果转化、产业应用”全链条支撑和“人才、金融、服务”全要素保障，完善创新创业生态体系，积极融入大连市科技创新策源地建设，构建面向未来的县域创新图景。</w:t>
      </w:r>
    </w:p>
    <w:p>
      <w:pPr>
        <w:pStyle w:val="4"/>
        <w:pageBreakBefore w:val="0"/>
        <w:widowControl w:val="0"/>
        <w:kinsoku/>
        <w:wordWrap/>
        <w:overflowPunct/>
        <w:topLinePunct w:val="0"/>
        <w:autoSpaceDE/>
        <w:autoSpaceDN/>
        <w:bidi w:val="0"/>
        <w:spacing w:line="600" w:lineRule="exact"/>
        <w:textAlignment w:val="auto"/>
        <w:rPr>
          <w:rFonts w:hint="default"/>
          <w:strike w:val="0"/>
          <w:dstrike w:val="0"/>
          <w:color w:val="auto"/>
          <w:sz w:val="32"/>
          <w:szCs w:val="32"/>
          <w:highlight w:val="none"/>
          <w:u w:val="none" w:color="auto"/>
          <w:shd w:val="clear" w:color="auto" w:fill="auto"/>
          <w:lang w:val="en-US" w:eastAsia="zh-CN"/>
        </w:rPr>
      </w:pPr>
      <w:bookmarkStart w:id="100" w:name="_Toc604768657"/>
      <w:r>
        <w:rPr>
          <w:rFonts w:hint="eastAsia"/>
          <w:strike w:val="0"/>
          <w:dstrike w:val="0"/>
          <w:color w:val="auto"/>
          <w:sz w:val="32"/>
          <w:szCs w:val="32"/>
          <w:highlight w:val="none"/>
          <w:u w:val="none" w:color="auto"/>
          <w:shd w:val="clear" w:color="auto" w:fill="auto"/>
          <w:lang w:val="en-US" w:eastAsia="zh-CN"/>
        </w:rPr>
        <w:t>第一节 深入实施人才强市战略</w:t>
      </w:r>
      <w:bookmarkEnd w:id="100"/>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eastAsia="仿宋_GB2312"/>
          <w:strike w:val="0"/>
          <w:dstrike w:val="0"/>
          <w:color w:val="auto"/>
          <w:sz w:val="32"/>
          <w:szCs w:val="32"/>
          <w:highlight w:val="none"/>
          <w:u w:val="none" w:color="auto"/>
          <w:shd w:val="clear" w:color="auto" w:fill="auto"/>
          <w:lang w:val="en-US" w:eastAsia="zh-CN"/>
        </w:rPr>
      </w:pPr>
      <w:r>
        <w:rPr>
          <w:rFonts w:hint="eastAsia" w:eastAsia="仿宋_GB2312"/>
          <w:b/>
          <w:bCs/>
          <w:strike w:val="0"/>
          <w:dstrike w:val="0"/>
          <w:color w:val="auto"/>
          <w:sz w:val="32"/>
          <w:szCs w:val="32"/>
          <w:highlight w:val="none"/>
          <w:u w:val="none" w:color="auto"/>
          <w:shd w:val="clear" w:color="auto" w:fill="auto"/>
          <w:lang w:val="en-US" w:eastAsia="zh-CN"/>
        </w:rPr>
        <w:t>强化创新人才引进。</w:t>
      </w:r>
      <w:r>
        <w:rPr>
          <w:rFonts w:hint="eastAsia" w:eastAsia="仿宋_GB2312"/>
          <w:strike w:val="0"/>
          <w:dstrike w:val="0"/>
          <w:color w:val="auto"/>
          <w:sz w:val="32"/>
          <w:szCs w:val="32"/>
          <w:highlight w:val="none"/>
          <w:u w:val="none" w:color="auto"/>
          <w:shd w:val="clear" w:color="auto" w:fill="auto"/>
          <w:lang w:val="en-US" w:eastAsia="zh-CN"/>
        </w:rPr>
        <w:t>聚焦国家重大战略和庄河特色产业发展需要，摸排重点产业高层次人才、急需紧缺人才需求。支持企业实施“领军人才</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w:t>
      </w:r>
      <w:r>
        <w:rPr>
          <w:rFonts w:hint="eastAsia" w:eastAsia="仿宋_GB2312"/>
          <w:strike w:val="0"/>
          <w:dstrike w:val="0"/>
          <w:color w:val="auto"/>
          <w:sz w:val="32"/>
          <w:szCs w:val="32"/>
          <w:highlight w:val="none"/>
          <w:u w:val="none" w:color="auto"/>
          <w:shd w:val="clear" w:color="auto" w:fill="auto"/>
          <w:lang w:val="en-US" w:eastAsia="zh-CN"/>
        </w:rPr>
        <w:t>创新团队</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w:t>
      </w:r>
      <w:r>
        <w:rPr>
          <w:rFonts w:hint="eastAsia" w:eastAsia="仿宋_GB2312"/>
          <w:strike w:val="0"/>
          <w:dstrike w:val="0"/>
          <w:color w:val="auto"/>
          <w:sz w:val="32"/>
          <w:szCs w:val="32"/>
          <w:highlight w:val="none"/>
          <w:u w:val="none" w:color="auto"/>
          <w:shd w:val="clear" w:color="auto" w:fill="auto"/>
          <w:lang w:val="en-US" w:eastAsia="zh-CN"/>
        </w:rPr>
        <w:t>创新项目”精准引才模式，重点在清洁能源、新材料、生物医药等领域引进能够引领庄河新质生产力发展的人才和团队。鼓励高新技术企业、“专精特新”企业等用人单位建立企业技术中心、工程研究中心等聚才平台，开展定向人才培育工程。引导各类人力资源服务机构、行业协会发挥渠道和资源优势，为用人单位推荐人才。</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eastAsia="仿宋_GB2312"/>
          <w:strike w:val="0"/>
          <w:dstrike w:val="0"/>
          <w:color w:val="auto"/>
          <w:sz w:val="32"/>
          <w:szCs w:val="32"/>
          <w:highlight w:val="none"/>
          <w:u w:val="none" w:color="auto"/>
          <w:shd w:val="clear" w:color="auto" w:fill="auto"/>
          <w:lang w:val="en-US" w:eastAsia="zh-CN"/>
        </w:rPr>
      </w:pPr>
      <w:r>
        <w:rPr>
          <w:rFonts w:hint="eastAsia" w:eastAsia="仿宋_GB2312"/>
          <w:b/>
          <w:bCs/>
          <w:strike w:val="0"/>
          <w:dstrike w:val="0"/>
          <w:color w:val="auto"/>
          <w:sz w:val="32"/>
          <w:szCs w:val="32"/>
          <w:highlight w:val="none"/>
          <w:u w:val="none" w:color="auto"/>
          <w:shd w:val="clear" w:color="auto" w:fill="auto"/>
          <w:lang w:val="en-US" w:eastAsia="zh-CN"/>
        </w:rPr>
        <w:t>优化人才发展环境。</w:t>
      </w:r>
      <w:r>
        <w:rPr>
          <w:rFonts w:hint="eastAsia" w:eastAsia="仿宋_GB2312"/>
          <w:strike w:val="0"/>
          <w:dstrike w:val="0"/>
          <w:color w:val="auto"/>
          <w:sz w:val="32"/>
          <w:szCs w:val="32"/>
          <w:highlight w:val="none"/>
          <w:u w:val="none" w:color="auto"/>
          <w:shd w:val="clear" w:color="auto" w:fill="auto"/>
          <w:lang w:val="en-US" w:eastAsia="zh-CN"/>
        </w:rPr>
        <w:t>深入贯彻落实“兴辽英才计划”“兴连英才计划”，提高人才服务效能。</w:t>
      </w:r>
      <w:r>
        <w:rPr>
          <w:rFonts w:hint="default" w:eastAsia="仿宋_GB2312"/>
          <w:strike w:val="0"/>
          <w:dstrike w:val="0"/>
          <w:color w:val="auto"/>
          <w:sz w:val="32"/>
          <w:szCs w:val="32"/>
          <w:highlight w:val="none"/>
          <w:u w:val="none" w:color="auto"/>
          <w:shd w:val="clear" w:color="auto" w:fill="auto"/>
          <w:lang w:val="en-US" w:eastAsia="zh-CN"/>
        </w:rPr>
        <w:t>持续开展</w:t>
      </w:r>
      <w:r>
        <w:rPr>
          <w:rFonts w:hint="eastAsia" w:eastAsia="仿宋_GB2312"/>
          <w:strike w:val="0"/>
          <w:dstrike w:val="0"/>
          <w:color w:val="auto"/>
          <w:sz w:val="32"/>
          <w:szCs w:val="32"/>
          <w:highlight w:val="none"/>
          <w:u w:val="none" w:color="auto"/>
          <w:shd w:val="clear" w:color="auto" w:fill="auto"/>
          <w:lang w:val="en-US" w:eastAsia="zh-CN"/>
        </w:rPr>
        <w:t>大学生社会实践活动</w:t>
      </w:r>
      <w:r>
        <w:rPr>
          <w:rFonts w:hint="default" w:eastAsia="仿宋_GB2312"/>
          <w:strike w:val="0"/>
          <w:dstrike w:val="0"/>
          <w:color w:val="auto"/>
          <w:sz w:val="32"/>
          <w:szCs w:val="32"/>
          <w:highlight w:val="none"/>
          <w:u w:val="none" w:color="auto"/>
          <w:shd w:val="clear" w:color="auto" w:fill="auto"/>
          <w:lang w:val="en-US" w:eastAsia="zh-CN"/>
        </w:rPr>
        <w:t>，</w:t>
      </w:r>
      <w:r>
        <w:rPr>
          <w:rFonts w:hint="eastAsia" w:eastAsia="仿宋_GB2312"/>
          <w:strike w:val="0"/>
          <w:dstrike w:val="0"/>
          <w:color w:val="auto"/>
          <w:sz w:val="32"/>
          <w:szCs w:val="32"/>
          <w:highlight w:val="none"/>
          <w:u w:val="none" w:color="auto"/>
          <w:shd w:val="clear" w:color="auto" w:fill="auto"/>
          <w:lang w:val="en-US" w:eastAsia="zh-CN"/>
        </w:rPr>
        <w:t>引导更多的年轻人走进庄河、触摸庄河、融入庄河、扎根庄河。统筹做好人才安居、医疗保障等工作。大力宣传中央、省委、大连市委及庄河市委关于人才工作的决策部署，深入宣传各领域人才工作成效和人才典型，着力营造崇尚创新、尊重人才、鼓励探索、宽容失败的浓厚社会氛围，持续提升庄河人才生态的吸引力和竞争力。</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pPr>
      <w:r>
        <w:rPr>
          <w:rFonts w:hint="eastAsia" w:eastAsia="仿宋_GB2312"/>
          <w:b/>
          <w:bCs/>
          <w:strike w:val="0"/>
          <w:dstrike w:val="0"/>
          <w:color w:val="auto"/>
          <w:sz w:val="32"/>
          <w:szCs w:val="32"/>
          <w:highlight w:val="none"/>
          <w:u w:val="none" w:color="auto"/>
          <w:shd w:val="clear" w:color="auto" w:fill="auto"/>
          <w:lang w:val="en-US" w:eastAsia="zh-CN"/>
        </w:rPr>
        <w:t>激发人才创新活力。</w:t>
      </w:r>
      <w:r>
        <w:rPr>
          <w:rFonts w:hint="eastAsia" w:eastAsia="仿宋_GB2312"/>
          <w:strike w:val="0"/>
          <w:dstrike w:val="0"/>
          <w:color w:val="auto"/>
          <w:sz w:val="32"/>
          <w:szCs w:val="32"/>
          <w:highlight w:val="none"/>
          <w:u w:val="none" w:color="auto"/>
          <w:shd w:val="clear" w:color="auto" w:fill="auto"/>
          <w:lang w:val="en-US" w:eastAsia="zh-CN"/>
        </w:rPr>
        <w:t>坚持“不求所有、但求所用”的柔性引才理念，按照“政府引导、市场主导、双向赋能、合作共赢”原则，探索构建“需求对接</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w:t>
      </w:r>
      <w:r>
        <w:rPr>
          <w:rFonts w:hint="eastAsia" w:eastAsia="仿宋_GB2312"/>
          <w:strike w:val="0"/>
          <w:dstrike w:val="0"/>
          <w:color w:val="auto"/>
          <w:sz w:val="32"/>
          <w:szCs w:val="32"/>
          <w:highlight w:val="none"/>
          <w:u w:val="none" w:color="auto"/>
          <w:shd w:val="clear" w:color="auto" w:fill="auto"/>
          <w:lang w:val="en-US" w:eastAsia="zh-CN"/>
        </w:rPr>
        <w:t>平台共建</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w:t>
      </w:r>
      <w:r>
        <w:rPr>
          <w:rFonts w:hint="eastAsia" w:eastAsia="仿宋_GB2312"/>
          <w:strike w:val="0"/>
          <w:dstrike w:val="0"/>
          <w:color w:val="auto"/>
          <w:sz w:val="32"/>
          <w:szCs w:val="32"/>
          <w:highlight w:val="none"/>
          <w:u w:val="none" w:color="auto"/>
          <w:shd w:val="clear" w:color="auto" w:fill="auto"/>
          <w:lang w:val="en-US" w:eastAsia="zh-CN"/>
        </w:rPr>
        <w:t>成果转化</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w:t>
      </w:r>
      <w:r>
        <w:rPr>
          <w:rFonts w:hint="eastAsia" w:eastAsia="仿宋_GB2312"/>
          <w:strike w:val="0"/>
          <w:dstrike w:val="0"/>
          <w:color w:val="auto"/>
          <w:sz w:val="32"/>
          <w:szCs w:val="32"/>
          <w:highlight w:val="none"/>
          <w:u w:val="none" w:color="auto"/>
          <w:shd w:val="clear" w:color="auto" w:fill="auto"/>
          <w:lang w:val="en-US" w:eastAsia="zh-CN"/>
        </w:rPr>
        <w:t>协同发展”全链条校地合作机制，推动高校智力资源与庄河发展深度融合，为庄河高质量发展提供人才支撑和创新动能。</w:t>
      </w:r>
    </w:p>
    <w:p>
      <w:pPr>
        <w:pStyle w:val="4"/>
        <w:pageBreakBefore w:val="0"/>
        <w:widowControl w:val="0"/>
        <w:kinsoku/>
        <w:wordWrap/>
        <w:overflowPunct/>
        <w:topLinePunct w:val="0"/>
        <w:autoSpaceDE/>
        <w:autoSpaceDN/>
        <w:bidi w:val="0"/>
        <w:spacing w:line="600" w:lineRule="exact"/>
        <w:textAlignment w:val="auto"/>
        <w:rPr>
          <w:rFonts w:hint="eastAsia"/>
          <w:strike w:val="0"/>
          <w:dstrike w:val="0"/>
          <w:color w:val="auto"/>
          <w:sz w:val="32"/>
          <w:szCs w:val="32"/>
          <w:highlight w:val="none"/>
          <w:u w:val="none" w:color="auto"/>
          <w:shd w:val="clear" w:color="auto" w:fill="auto"/>
          <w:lang w:val="en-US" w:eastAsia="zh-CN"/>
        </w:rPr>
      </w:pPr>
      <w:bookmarkStart w:id="101" w:name="_Toc1823258635"/>
      <w:r>
        <w:rPr>
          <w:rFonts w:hint="eastAsia"/>
          <w:strike w:val="0"/>
          <w:dstrike w:val="0"/>
          <w:color w:val="auto"/>
          <w:sz w:val="32"/>
          <w:szCs w:val="32"/>
          <w:highlight w:val="none"/>
          <w:u w:val="none" w:color="auto"/>
          <w:shd w:val="clear" w:color="auto" w:fill="auto"/>
          <w:lang w:val="en-US" w:eastAsia="zh-CN"/>
        </w:rPr>
        <w:t>第二节 强化企业创新主体地位</w:t>
      </w:r>
      <w:bookmarkEnd w:id="101"/>
    </w:p>
    <w:p>
      <w:pPr>
        <w:pageBreakBefore w:val="0"/>
        <w:widowControl w:val="0"/>
        <w:kinsoku/>
        <w:wordWrap/>
        <w:overflowPunct/>
        <w:topLinePunct w:val="0"/>
        <w:autoSpaceDE/>
        <w:autoSpaceDN/>
        <w:bidi w:val="0"/>
        <w:spacing w:line="600" w:lineRule="exact"/>
        <w:ind w:firstLine="630"/>
        <w:jc w:val="both"/>
        <w:textAlignment w:val="auto"/>
        <w:rPr>
          <w:rFonts w:hint="eastAsia" w:ascii="仿宋_GB2312" w:hAnsi="仿宋" w:eastAsia="仿宋_GB2312"/>
          <w:strike w:val="0"/>
          <w:dstrike w:val="0"/>
          <w:color w:val="auto"/>
          <w:sz w:val="32"/>
          <w:szCs w:val="32"/>
          <w:highlight w:val="none"/>
          <w:u w:val="none" w:color="auto"/>
          <w:lang w:val="en-US" w:eastAsia="zh-CN"/>
        </w:rPr>
      </w:pPr>
      <w:r>
        <w:rPr>
          <w:rFonts w:hint="eastAsia" w:ascii="仿宋_GB2312" w:hAnsi="仿宋" w:eastAsia="仿宋_GB2312"/>
          <w:b/>
          <w:bCs/>
          <w:strike w:val="0"/>
          <w:dstrike w:val="0"/>
          <w:color w:val="auto"/>
          <w:sz w:val="32"/>
          <w:szCs w:val="32"/>
          <w:highlight w:val="none"/>
          <w:u w:val="none" w:color="auto"/>
          <w:lang w:val="en-US" w:eastAsia="zh-CN"/>
        </w:rPr>
        <w:t>加强以企业为主体、以市场为导向的产学研深度融合。</w:t>
      </w:r>
      <w:r>
        <w:rPr>
          <w:rFonts w:hint="eastAsia" w:ascii="仿宋_GB2312" w:hAnsi="仿宋" w:eastAsia="仿宋_GB2312"/>
          <w:strike w:val="0"/>
          <w:dstrike w:val="0"/>
          <w:color w:val="auto"/>
          <w:sz w:val="32"/>
          <w:szCs w:val="32"/>
          <w:highlight w:val="none"/>
          <w:u w:val="none" w:color="auto"/>
          <w:lang w:val="en-US" w:eastAsia="zh-CN"/>
        </w:rPr>
        <w:t>鼓励企业与高等院校、科研院所加强合作，组建体系化、任务型创新联合体，协同培养科技人才，开展科技成果应用合作。支持企业承担国家、省、大连市重大项目，参与重要标准制定，在大规模储能、高性能电池等领域开展关键核心技术攻关和科技成果转化。精准落实高新技术企业税收优惠、研发费用加计扣除、先进制造业企业增值税加计抵减等政策，落实并推动实施自主创新产品优先采购以及技术装备首台（套）、关键零部件和材料首批次、软件首版次等应用激励政策。“十五五”期间，规上企业研发经费投入年均增长7%，技术合同成交额年均增长10%。</w:t>
      </w:r>
    </w:p>
    <w:p>
      <w:pPr>
        <w:pageBreakBefore w:val="0"/>
        <w:widowControl w:val="0"/>
        <w:kinsoku/>
        <w:wordWrap/>
        <w:overflowPunct/>
        <w:topLinePunct w:val="0"/>
        <w:autoSpaceDE/>
        <w:autoSpaceDN/>
        <w:bidi w:val="0"/>
        <w:spacing w:line="600" w:lineRule="exact"/>
        <w:ind w:firstLine="630"/>
        <w:jc w:val="both"/>
        <w:textAlignment w:val="auto"/>
        <w:rPr>
          <w:rFonts w:hint="eastAsia" w:ascii="仿宋_GB2312" w:hAnsi="仿宋" w:eastAsia="仿宋_GB2312"/>
          <w:strike w:val="0"/>
          <w:dstrike w:val="0"/>
          <w:color w:val="auto"/>
          <w:sz w:val="32"/>
          <w:szCs w:val="32"/>
          <w:highlight w:val="none"/>
          <w:u w:val="none" w:color="auto"/>
          <w:lang w:val="en-US" w:eastAsia="zh-CN"/>
        </w:rPr>
      </w:pPr>
      <w:r>
        <w:rPr>
          <w:rFonts w:hint="eastAsia" w:ascii="仿宋_GB2312" w:hAnsi="仿宋" w:eastAsia="仿宋_GB2312"/>
          <w:b/>
          <w:bCs/>
          <w:strike w:val="0"/>
          <w:dstrike w:val="0"/>
          <w:color w:val="auto"/>
          <w:sz w:val="32"/>
          <w:szCs w:val="32"/>
          <w:highlight w:val="none"/>
          <w:u w:val="none" w:color="auto"/>
          <w:lang w:val="en-US" w:eastAsia="zh-CN"/>
        </w:rPr>
        <w:t>培育壮大创新型企业集群。</w:t>
      </w:r>
      <w:r>
        <w:rPr>
          <w:rFonts w:hint="eastAsia" w:ascii="仿宋_GB2312" w:hAnsi="仿宋" w:eastAsia="仿宋_GB2312"/>
          <w:strike w:val="0"/>
          <w:dstrike w:val="0"/>
          <w:color w:val="auto"/>
          <w:sz w:val="32"/>
          <w:szCs w:val="32"/>
          <w:highlight w:val="none"/>
          <w:u w:val="none" w:color="auto"/>
          <w:lang w:val="en-US" w:eastAsia="zh-CN"/>
        </w:rPr>
        <w:t>完善创新企业培育机制，梯度培育“雏鹰”“瞪羚”“独角兽”企业、高新技术企业、专精特新中小企业和“小巨人”企业，形成“微成长、小升规、高变强”的企业培育链条。培育一批掌握关键核心技术、市场、品牌等话语权的细分领域“隐形冠军”企业，壮大一批高端装备制造、新材料、生物医药等战略性新兴产业企业。支持企业建设产业创新战略联盟，推动企业在技术攻关、成果转化、检测认证、市场开拓等方面实现资源共享、协同创新。推动清洁能源、装备制造等产业链形成“龙头带中小、中小补链条”的创新格局。力争到2030年，年均认定高新技术企业达到20家以上，辽宁省“雏鹰”“瞪羚”企业达到60家以上，省级以上专精特新企业达到40家以上。</w:t>
      </w:r>
    </w:p>
    <w:p>
      <w:pPr>
        <w:pStyle w:val="4"/>
        <w:pageBreakBefore w:val="0"/>
        <w:widowControl w:val="0"/>
        <w:kinsoku/>
        <w:wordWrap/>
        <w:overflowPunct/>
        <w:topLinePunct w:val="0"/>
        <w:autoSpaceDE/>
        <w:autoSpaceDN/>
        <w:bidi w:val="0"/>
        <w:spacing w:line="600" w:lineRule="exact"/>
        <w:textAlignment w:val="auto"/>
        <w:rPr>
          <w:rFonts w:hint="eastAsia"/>
          <w:strike w:val="0"/>
          <w:dstrike w:val="0"/>
          <w:color w:val="auto"/>
          <w:sz w:val="32"/>
          <w:szCs w:val="32"/>
          <w:highlight w:val="none"/>
          <w:u w:val="none" w:color="auto"/>
          <w:shd w:val="clear" w:color="auto" w:fill="auto"/>
          <w:lang w:val="en-US" w:eastAsia="zh-CN"/>
        </w:rPr>
      </w:pPr>
      <w:bookmarkStart w:id="102" w:name="_Toc19982"/>
      <w:bookmarkStart w:id="103" w:name="_Toc355036345"/>
      <w:r>
        <w:rPr>
          <w:rFonts w:hint="eastAsia"/>
          <w:strike w:val="0"/>
          <w:dstrike w:val="0"/>
          <w:color w:val="auto"/>
          <w:sz w:val="32"/>
          <w:szCs w:val="32"/>
          <w:highlight w:val="none"/>
          <w:u w:val="none" w:color="auto"/>
          <w:shd w:val="clear" w:color="auto" w:fill="auto"/>
          <w:lang w:val="en-US" w:eastAsia="zh-CN"/>
        </w:rPr>
        <w:t>第三节 完善创新创业生态系统</w:t>
      </w:r>
      <w:bookmarkEnd w:id="102"/>
      <w:bookmarkEnd w:id="103"/>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深化科技体制改革。</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统筹推进科技管理、评价、激励、成果转化等体制机制改革，全方位激发全社会创新活力与创造潜能。着力构建覆盖创新全链条的科技创新体系，推动重点项目、人才、资金实现一体化精准配置。动员社会各界广泛参与和加大科技投入，积极营造开放包容、鼓励试错、宽容失败的创新创业氛围。</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加强知识产权保护。</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强化专利培育开发，鼓励和支持企事业单位和个人开展专利创造，培育一批具有核心竞争力的高价值专利。落实高价值发明专利专项扶持政策，鼓励企业以专利质押获取研发资金。引导企业加强知识产权保护和管理，建立健全知识产权管理制度。健全知识产权公共服务体系，强化知识产权保护及违法处罚力度</w:t>
      </w:r>
      <w:r>
        <w:rPr>
          <w:rFonts w:hint="eastAsia" w:ascii="Times New Roman" w:hAnsi="Times New Roman" w:eastAsia="仿宋_GB2312" w:cs="Times New Roman"/>
          <w:strike w:val="0"/>
          <w:dstrike w:val="0"/>
          <w:color w:val="auto"/>
          <w:sz w:val="32"/>
          <w:szCs w:val="32"/>
          <w:highlight w:val="none"/>
          <w:u w:val="none" w:color="auto"/>
          <w:lang w:eastAsia="zh-CN"/>
        </w:rPr>
        <w:t>，优化侵权投诉处理流程。</w:t>
      </w:r>
    </w:p>
    <w:p>
      <w:pPr>
        <w:pStyle w:val="3"/>
        <w:pageBreakBefore w:val="0"/>
        <w:widowControl w:val="0"/>
        <w:kinsoku/>
        <w:wordWrap/>
        <w:overflowPunct/>
        <w:topLinePunct w:val="0"/>
        <w:autoSpaceDE/>
        <w:autoSpaceDN/>
        <w:bidi w:val="0"/>
        <w:spacing w:line="600" w:lineRule="exact"/>
        <w:textAlignment w:val="auto"/>
        <w:rPr>
          <w:rFonts w:hint="default"/>
          <w:strike w:val="0"/>
          <w:dstrike w:val="0"/>
          <w:color w:val="auto"/>
          <w:sz w:val="32"/>
          <w:szCs w:val="32"/>
          <w:highlight w:val="none"/>
          <w:u w:val="none" w:color="auto"/>
          <w:shd w:val="clear" w:color="auto" w:fill="auto"/>
          <w:lang w:val="en-US" w:eastAsia="zh-CN"/>
        </w:rPr>
      </w:pPr>
      <w:bookmarkStart w:id="104" w:name="_Toc1717685184"/>
      <w:r>
        <w:rPr>
          <w:rFonts w:hint="eastAsia"/>
          <w:strike w:val="0"/>
          <w:dstrike w:val="0"/>
          <w:color w:val="auto"/>
          <w:sz w:val="32"/>
          <w:szCs w:val="32"/>
          <w:highlight w:val="none"/>
          <w:u w:val="none" w:color="auto"/>
          <w:shd w:val="clear" w:color="auto" w:fill="auto"/>
          <w:lang w:val="en-US" w:eastAsia="zh-CN"/>
        </w:rPr>
        <w:t>第六章 进一步全面深化改革，激发发展内生动力活力</w:t>
      </w:r>
      <w:bookmarkEnd w:id="104"/>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pP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围绕体制机制有待完善、市场壁垒有待破除、营商环境有待优化、国资国企核心功能有待增强、民营经济发展有待壮大、财税金融体制改革有待进一步深化等问题，敢于突进深水区，敢于啃硬骨头，敢于涉险滩，坚决破除各方面体制机制弊端，实现改革由局部探索、破冰突围到系统集成、全面深化的转变。</w:t>
      </w:r>
    </w:p>
    <w:p>
      <w:pPr>
        <w:pStyle w:val="4"/>
        <w:pageBreakBefore w:val="0"/>
        <w:widowControl w:val="0"/>
        <w:kinsoku/>
        <w:wordWrap/>
        <w:overflowPunct/>
        <w:topLinePunct w:val="0"/>
        <w:autoSpaceDE/>
        <w:autoSpaceDN/>
        <w:bidi w:val="0"/>
        <w:spacing w:line="600" w:lineRule="exact"/>
        <w:textAlignment w:val="auto"/>
        <w:rPr>
          <w:rFonts w:hint="default" w:ascii="楷体_GB2312" w:hAnsi="楷体_GB2312" w:eastAsia="楷体_GB2312" w:cs="楷体_GB2312"/>
          <w:b/>
          <w:bCs/>
          <w:strike w:val="0"/>
          <w:dstrike w:val="0"/>
          <w:color w:val="auto"/>
          <w:kern w:val="2"/>
          <w:sz w:val="32"/>
          <w:szCs w:val="32"/>
          <w:highlight w:val="none"/>
          <w:u w:val="none" w:color="auto"/>
          <w:shd w:val="clear" w:color="auto" w:fill="auto"/>
          <w:lang w:val="en-US" w:eastAsia="zh-CN" w:bidi="ar-SA"/>
        </w:rPr>
      </w:pPr>
      <w:bookmarkStart w:id="105" w:name="_Toc1958949697"/>
      <w:r>
        <w:rPr>
          <w:rFonts w:hint="eastAsia"/>
          <w:strike w:val="0"/>
          <w:dstrike w:val="0"/>
          <w:color w:val="auto"/>
          <w:sz w:val="32"/>
          <w:szCs w:val="32"/>
          <w:highlight w:val="none"/>
          <w:u w:val="none" w:color="auto"/>
          <w:shd w:val="clear" w:color="auto" w:fill="auto"/>
          <w:lang w:val="en-US" w:eastAsia="zh-CN"/>
        </w:rPr>
        <w:t>第一节 主动融入全国统一大市场建设</w:t>
      </w:r>
      <w:bookmarkEnd w:id="105"/>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保障市场公平竞争。</w:t>
      </w:r>
      <w:r>
        <w:rPr>
          <w:rFonts w:hint="eastAsia" w:ascii="仿宋_GB2312" w:hAnsi="仿宋_GB2312" w:eastAsia="仿宋_GB2312" w:cs="仿宋_GB2312"/>
          <w:b w:val="0"/>
          <w:bCs w:val="0"/>
          <w:strike w:val="0"/>
          <w:dstrike w:val="0"/>
          <w:color w:val="auto"/>
          <w:sz w:val="32"/>
          <w:szCs w:val="32"/>
          <w:highlight w:val="none"/>
          <w:u w:val="none" w:color="auto"/>
          <w:shd w:val="clear" w:color="auto" w:fill="auto"/>
          <w:lang w:val="en-US" w:eastAsia="zh-CN"/>
        </w:rPr>
        <w:t>严格</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落实全国统一大市场建设指引和市场准入负面清单，推动“非禁即入”普遍落实。清理废除妨碍统一市场和公平竞争的规定做法，系统破除各类显性和隐性壁垒，在要素获取、准入许可、经营运行、政府采购和招投标等方面平等对待各类所有制企业。建立健全公平竞争审查工作机制，发挥媒体监督与社会共治作用，培育弘扬公平竞争文化，构建政府监管、企业自律、社会监督的多元共治体系。</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深化要素市场化改革。</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破除制约要素自由流动的体制机制障碍，促进生产要素畅通流动，实现要素配置效益效率双提升。深化公共资源交易领域改革，实现项目全流程公开管理。推进人力资源市场整合优化，畅通人力资源社会性流动渠道。</w:t>
      </w:r>
      <w:r>
        <w:rPr>
          <w:rFonts w:hint="eastAsia" w:ascii="仿宋_GB2312" w:hAnsi="仿宋_GB2312" w:eastAsia="仿宋_GB2312" w:cs="仿宋_GB2312"/>
          <w:b w:val="0"/>
          <w:bCs w:val="0"/>
          <w:strike w:val="0"/>
          <w:dstrike w:val="0"/>
          <w:color w:val="auto"/>
          <w:sz w:val="32"/>
          <w:szCs w:val="32"/>
          <w:highlight w:val="none"/>
          <w:u w:val="none" w:color="auto"/>
          <w:shd w:val="clear" w:color="auto" w:fill="auto"/>
          <w:lang w:val="en-US" w:eastAsia="zh-CN"/>
        </w:rPr>
        <w:t>深化土地要素市场化配置改革，完善土地要素交易规则和服务体系。</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推进数据开发利用，加强个人信息保护，有序发展数据要素产业。健全要素市场运行和监管规则，促进商品市场和服务市场提质增效。鼓励行业组织建立健全行业自律公约和职业道德准则，引导行业规范合法竞争，维护市场秩序。</w:t>
      </w:r>
    </w:p>
    <w:p>
      <w:pPr>
        <w:pStyle w:val="4"/>
        <w:pageBreakBefore w:val="0"/>
        <w:widowControl w:val="0"/>
        <w:kinsoku/>
        <w:wordWrap/>
        <w:overflowPunct/>
        <w:topLinePunct w:val="0"/>
        <w:autoSpaceDE/>
        <w:autoSpaceDN/>
        <w:bidi w:val="0"/>
        <w:spacing w:line="600" w:lineRule="exact"/>
        <w:textAlignment w:val="auto"/>
        <w:rPr>
          <w:rFonts w:hint="default"/>
          <w:strike w:val="0"/>
          <w:dstrike w:val="0"/>
          <w:color w:val="auto"/>
          <w:sz w:val="32"/>
          <w:szCs w:val="32"/>
          <w:highlight w:val="none"/>
          <w:u w:val="none" w:color="auto"/>
          <w:shd w:val="clear" w:color="auto" w:fill="auto"/>
          <w:lang w:val="en-US" w:eastAsia="zh-CN"/>
        </w:rPr>
      </w:pPr>
      <w:bookmarkStart w:id="106" w:name="_Toc131936348"/>
      <w:r>
        <w:rPr>
          <w:rFonts w:hint="eastAsia"/>
          <w:strike w:val="0"/>
          <w:dstrike w:val="0"/>
          <w:color w:val="auto"/>
          <w:sz w:val="32"/>
          <w:szCs w:val="32"/>
          <w:highlight w:val="none"/>
          <w:u w:val="none" w:color="auto"/>
          <w:shd w:val="clear" w:color="auto" w:fill="auto"/>
          <w:lang w:val="en-US" w:eastAsia="zh-CN"/>
        </w:rPr>
        <w:t>第二节 营造市场化、法治化、国际化一流营商环境</w:t>
      </w:r>
      <w:bookmarkEnd w:id="106"/>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Times New Roman" w:hAnsi="Times New Roman" w:eastAsia="仿宋_GB2312" w:cs="Times New Roman"/>
          <w:b/>
          <w:bCs/>
          <w:strike w:val="0"/>
          <w:dstrike w:val="0"/>
          <w:color w:val="auto"/>
          <w:sz w:val="32"/>
          <w:szCs w:val="32"/>
          <w:highlight w:val="none"/>
          <w:u w:val="none" w:color="auto"/>
        </w:rPr>
        <w:t>营造公平高效的市场化营商环境。</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建设服务型政府，擦亮“庄兴百业 河润万商”营商品牌。</w:t>
      </w:r>
      <w:r>
        <w:rPr>
          <w:rFonts w:hint="eastAsia" w:ascii="Times New Roman" w:hAnsi="Times New Roman" w:eastAsia="仿宋_GB2312" w:cs="Times New Roman"/>
          <w:strike w:val="0"/>
          <w:dstrike w:val="0"/>
          <w:color w:val="auto"/>
          <w:sz w:val="32"/>
          <w:szCs w:val="32"/>
          <w:highlight w:val="none"/>
          <w:u w:val="none" w:color="auto"/>
        </w:rPr>
        <w:t>深化市场化改革，激发市场活力</w:t>
      </w:r>
      <w:r>
        <w:rPr>
          <w:rFonts w:hint="eastAsia" w:ascii="Times New Roman" w:hAnsi="Times New Roman" w:eastAsia="仿宋_GB2312" w:cs="Times New Roman"/>
          <w:strike w:val="0"/>
          <w:dstrike w:val="0"/>
          <w:color w:val="auto"/>
          <w:sz w:val="32"/>
          <w:szCs w:val="32"/>
          <w:highlight w:val="none"/>
          <w:u w:val="none" w:color="auto"/>
          <w:lang w:eastAsia="zh-CN"/>
        </w:rPr>
        <w:t>，为各类经营主体提供广阔发展空间</w:t>
      </w:r>
      <w:r>
        <w:rPr>
          <w:rFonts w:hint="eastAsia" w:ascii="Times New Roman" w:hAnsi="Times New Roman" w:eastAsia="仿宋_GB2312" w:cs="Times New Roman"/>
          <w:strike w:val="0"/>
          <w:dstrike w:val="0"/>
          <w:color w:val="auto"/>
          <w:sz w:val="32"/>
          <w:szCs w:val="32"/>
          <w:highlight w:val="none"/>
          <w:u w:val="none" w:color="auto"/>
        </w:rPr>
        <w:t>。</w:t>
      </w:r>
      <w:r>
        <w:rPr>
          <w:rFonts w:hint="eastAsia" w:ascii="Times New Roman" w:hAnsi="Times New Roman" w:eastAsia="仿宋_GB2312" w:cs="Times New Roman"/>
          <w:strike w:val="0"/>
          <w:dstrike w:val="0"/>
          <w:color w:val="auto"/>
          <w:sz w:val="32"/>
          <w:szCs w:val="32"/>
          <w:highlight w:val="none"/>
          <w:u w:val="none" w:color="auto"/>
          <w:lang w:eastAsia="zh-CN"/>
        </w:rPr>
        <w:t>严格落实国家关于规范招商引资行为相关政策，</w:t>
      </w:r>
      <w:r>
        <w:rPr>
          <w:rFonts w:hint="eastAsia" w:ascii="Times New Roman" w:hAnsi="Times New Roman" w:eastAsia="仿宋_GB2312" w:cs="Times New Roman"/>
          <w:strike w:val="0"/>
          <w:dstrike w:val="0"/>
          <w:color w:val="auto"/>
          <w:sz w:val="32"/>
          <w:szCs w:val="32"/>
          <w:highlight w:val="none"/>
          <w:u w:val="none" w:color="auto"/>
        </w:rPr>
        <w:t>结合产业发展和特色优势，</w:t>
      </w:r>
      <w:r>
        <w:rPr>
          <w:rFonts w:hint="eastAsia" w:ascii="Times New Roman" w:hAnsi="Times New Roman" w:eastAsia="仿宋_GB2312" w:cs="Times New Roman"/>
          <w:strike w:val="0"/>
          <w:dstrike w:val="0"/>
          <w:color w:val="auto"/>
          <w:sz w:val="32"/>
          <w:szCs w:val="32"/>
          <w:highlight w:val="none"/>
          <w:u w:val="none" w:color="auto"/>
          <w:lang w:eastAsia="zh-CN"/>
        </w:rPr>
        <w:t>加快形成规范招商、良性招商新模式</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健全社会信用体系。完善信用信息归集共享机制，夯实社会信用体系数据基础。推进诚信庄河建设。提升诚信政府建设水平，常态化开展政府履约践诺专项整治。健全守信激励和失信惩戒机制，拓展信用在行政管理、社会治理、金融服务、民生保障等方面的深层次应用。探索建立民营企业信用状况综合评价体系，健全民营中小企业增信制度。健全企业信用市场监管领域风险预警机制，高效办理企业信用修复“一件事”。全面推进信用代证制度，实现信用报告代替有无违法违规证明。大力弘扬诚信文化。培育社会信用体系建设市场化社会化力量，支持信用服务市场发展。</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营造公开透明的法治化营商环境。</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深刻转变政府职能，优化政府职责体系，全面落实权责清单、负面清单制度。深化“一照多址”登记改革，逐步向许可经营事项拓展。深化“放管服”改革，持续深化“一网通办”改革，促进政务服务标准化、规范化、便利化，推动更多政务服务事项减时限、减材料、减环节、减跑动。探索开展“人工智能＋政务服务”，常态化推进“高效办成一件事”，打通部门间数据壁垒，进一步提高行政审批效率。加快推动电子营业执照和“企业码”在政务服务、银行开户、社保缴纳、税务办理等服务场景中的使用。提升12345政务服务便民热线服务质效。优化政策制定机制，多渠道收集企业意见建议，强化拟出台涉企政策的合法性审核（查）、公平竞争审查以及宏观政策取向一致性评估。大力推广“免申即享”“直达快享”。加强事中事后监管，规范涉企行政检查，推广“扫码入企”监管模式，减少对企业正常经营的干扰。规范行政执法行为，防止和纠正利用行政、刑事手段干预经济纠纷，让企业放心投资、安心发展。构建多元化纠纷解决机制，完善商事调解配套制度，提升商事调解组织专业服务水平，推动商事纠纷“一站式”化解。畅通经营主体依法申请行政复议渠道，开展常态化法治宣传教育。</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营造开放包容的国际化营商环境。</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主动对接国际高标准经贸规则，在跨境贸易、数据流动等领域开展压力测试，学习自贸区“负面清单”“单一窗口”等先试政策经验。深化外资管理体制改革和外商投资促进体制机制改革，依法保护外商投资权益，保障外资企业在要素获取、资质许可、标准制定、政府采购等方面的国民待遇。加强涉外服务配套，提供多语种政务指引、涉外法律咨询，提升境外人员入境居住、医疗、支付等生活便利度，落实境外投资者以分配利润直接投资暂不征收预提所得税等政策。打造国际化产业载体，以更高水平对外开放促进经济社会高质量发展。</w:t>
      </w:r>
    </w:p>
    <w:p>
      <w:pPr>
        <w:pStyle w:val="4"/>
        <w:pageBreakBefore w:val="0"/>
        <w:widowControl w:val="0"/>
        <w:kinsoku/>
        <w:wordWrap/>
        <w:overflowPunct/>
        <w:topLinePunct w:val="0"/>
        <w:autoSpaceDE/>
        <w:autoSpaceDN/>
        <w:bidi w:val="0"/>
        <w:spacing w:line="600" w:lineRule="exact"/>
        <w:textAlignment w:val="auto"/>
        <w:rPr>
          <w:rFonts w:hint="eastAsia"/>
          <w:strike w:val="0"/>
          <w:dstrike w:val="0"/>
          <w:color w:val="auto"/>
          <w:sz w:val="32"/>
          <w:szCs w:val="32"/>
          <w:highlight w:val="none"/>
          <w:u w:val="none" w:color="auto"/>
          <w:shd w:val="clear" w:color="auto" w:fill="auto"/>
          <w:lang w:val="en-US" w:eastAsia="zh-CN"/>
        </w:rPr>
      </w:pPr>
      <w:bookmarkStart w:id="107" w:name="_Toc1090032549"/>
      <w:r>
        <w:rPr>
          <w:rFonts w:hint="eastAsia"/>
          <w:strike w:val="0"/>
          <w:dstrike w:val="0"/>
          <w:color w:val="auto"/>
          <w:sz w:val="32"/>
          <w:szCs w:val="32"/>
          <w:highlight w:val="none"/>
          <w:u w:val="none" w:color="auto"/>
          <w:shd w:val="clear" w:color="auto" w:fill="auto"/>
          <w:lang w:val="en-US" w:eastAsia="zh-CN"/>
        </w:rPr>
        <w:t>第三节 充分激发各类经营主体发展活力</w:t>
      </w:r>
      <w:bookmarkEnd w:id="107"/>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持续深化国企国资改革。</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进一步明晰不同类型国有企业功能定位，发挥市属国有企业在自然资源、海运仓储、农粮生产加工等专业化板块的引领作用，推动国有资本向重要行业、关键领域集中，完善主责主业管理，明确国有资本重点投资领域和方向，切实增强国有经济控制力，提升维护国家“五大安全”能力。</w:t>
      </w:r>
      <w:r>
        <w:rPr>
          <w:rFonts w:hint="eastAsia" w:ascii="仿宋_GB2312" w:hAnsi="仿宋_GB2312" w:eastAsia="仿宋_GB2312" w:cs="仿宋_GB2312"/>
          <w:strike w:val="0"/>
          <w:dstrike w:val="0"/>
          <w:color w:val="auto"/>
          <w:sz w:val="32"/>
          <w:szCs w:val="32"/>
          <w:highlight w:val="none"/>
          <w:u w:val="none" w:color="auto"/>
          <w:lang w:val="en-US" w:eastAsia="zh-CN"/>
        </w:rPr>
        <w:t>积极推动国有企业有效利用、盘活存量国有资产资源，</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提升国有资本配置效率。加快引进、培育市场化运作专业人才，提升国有企业资本运作、市场开拓、管理创新活力。增强国有企业投融资实力，稳控债务风险，提高自主经营、自负盈亏、自我发展水平。发挥国有企业支持城市建设、服务保障民生、发展文体旅游产业等方面作用，提升国有资本对庄河经济发展的贡献度。推动国有企业数字化转型，深化大数据、云计算、人工智能等先进技术在企业管理与创新中的应用，加快智慧国企建设步伐。健全以管资本为主的国资监管体制，完善国有企业分类考核评价体系。建立健全央地合作长效机制，推动央地创新链、产业链、供应链、人才链融合发展。探索国有企业混合所有制改革，优化股权结构，吸引战略投资者和社会资本参与改革，支持股改企业上市，推进国有资产资本化、证券化。</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促进民营经济高质量发展。</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坚决贯彻“两个毫不动摇”，深入落实《中华人民共和国民营经济促进法》，提升民营经济发展环境，保障各类经济组织公平参与市场竞争。强化民营企业融资保障，拓宽股权、债券等多元化融资渠道，降低民营企业融资成本。完善新型亲清政商关系，建立规范化、机制化政企沟通渠道，实行领导干部联系企业制度，强化企业诉求闭环办理，切实帮助民营企业纾困解难。弘扬优秀企业家精神。完善现代产权制度，健全以公平为原则的产权保护制度，依法保护民营企业产权和企业家合法权益。加强民营企业人才队伍建设，完善引才、育才、用才、留才机制，夯实企业发展的人才支撑。鼓励民营企业主动对接国家及省、市重大战略需求，积极参与基础设施建设、科技创新、绿色发展等领域的重大工程和项目建设，全面提升其核心竞争力和市场影响力。到2030年，力争市场主体总量突破9万户。</w:t>
      </w:r>
    </w:p>
    <w:p>
      <w:pPr>
        <w:pStyle w:val="4"/>
        <w:pageBreakBefore w:val="0"/>
        <w:widowControl w:val="0"/>
        <w:kinsoku/>
        <w:wordWrap/>
        <w:overflowPunct/>
        <w:topLinePunct w:val="0"/>
        <w:autoSpaceDE/>
        <w:autoSpaceDN/>
        <w:bidi w:val="0"/>
        <w:spacing w:line="600" w:lineRule="exact"/>
        <w:textAlignment w:val="auto"/>
        <w:rPr>
          <w:rFonts w:hint="eastAsia"/>
          <w:strike w:val="0"/>
          <w:dstrike w:val="0"/>
          <w:color w:val="auto"/>
          <w:sz w:val="32"/>
          <w:szCs w:val="32"/>
          <w:highlight w:val="none"/>
          <w:u w:val="none" w:color="auto"/>
          <w:shd w:val="clear" w:color="auto" w:fill="auto"/>
          <w:lang w:val="en-US" w:eastAsia="zh-CN"/>
        </w:rPr>
      </w:pPr>
      <w:bookmarkStart w:id="108" w:name="_Toc1349580089"/>
      <w:r>
        <w:rPr>
          <w:rFonts w:hint="eastAsia"/>
          <w:strike w:val="0"/>
          <w:dstrike w:val="0"/>
          <w:color w:val="auto"/>
          <w:sz w:val="32"/>
          <w:szCs w:val="32"/>
          <w:highlight w:val="none"/>
          <w:u w:val="none" w:color="auto"/>
          <w:shd w:val="clear" w:color="auto" w:fill="auto"/>
          <w:lang w:val="en-US" w:eastAsia="zh-CN"/>
        </w:rPr>
        <w:t>第四节 统筹推进财税金融体制改革</w:t>
      </w:r>
      <w:bookmarkEnd w:id="108"/>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default"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深化财税体制改革，健全预算管理与税制优化机制。</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加快完善财税制度，更好发挥财政在治理体系中的基础和重要支柱作用。深化零基预算改革，优化财政支出结构，构建该保必保、应省尽省、讲求绩效的资金配置机制。完善预算绩效管理体系，从事前绩效评估、事中绩效监控、事后绩效评价全过程加大预算绩效管理力度，提升财政资金使用效益。坚持有效市场和有为政府相结合，减少对微观经济的不当干预。创新财政支持方式，减少直接补助、无偿补助等扶持方式，充分发挥贷款贴息、担保费补贴、拨投结合、政府投资基金等政策工具功能，更大力度运用市场机制、发挥市场功能。加强财政资源统筹，强化服务于国家、省和大连市重大战略任务和基本民生的财力保障。优化财政支持经济产业发展政策，挖掘公共资源资金资产功能作用，建立健全稳定可持续的财税收入增长机制。优化纳税服务，高效落实各项税费优惠政策，推进税收征管体制改革，完善税务执法制度机制。借助大数据和信息共享等先进技术手段，精准识别纳税主体，有效堵塞税收漏洞。积极拓展非税收入来源，强化行政事业性收费管理，清理不合理收费项目，并根据市场供求关系，合理调整具有市场调节性质的收费标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推动金融服务实体经济，发展科技金融和普惠金融。</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全面提升金融服务实体经济质效，支持企业通过多层次资本市场进行债权和股权融资。优化间接融资，发挥政府性融资担保机构作用，推进普惠金融、供应链金融发展，降低民营企业和小微企业融资成本。完善银企对接机制，加强“政银企”信息共享，全面推广“金融服务驿站”模式，常态化开展银企对接活动，着力提高首贷成功率与融资对接效率。引导金融机构积极发展科技金融、绿色金融、普惠金融、养老金融、数字金融，创新金融产品与服务，开发个性化信贷产品，实现对各类经营主体多元化融资需求的“精准滴灌”。严格落实小微企业贷款延期还本付息、信用贷款支持等政策，持续提升金融服务的覆盖率、可得性和满意度。</w:t>
      </w:r>
    </w:p>
    <w:p>
      <w:pPr>
        <w:pStyle w:val="4"/>
        <w:pageBreakBefore w:val="0"/>
        <w:widowControl w:val="0"/>
        <w:kinsoku/>
        <w:wordWrap/>
        <w:overflowPunct/>
        <w:topLinePunct w:val="0"/>
        <w:autoSpaceDE/>
        <w:autoSpaceDN/>
        <w:bidi w:val="0"/>
        <w:spacing w:line="600" w:lineRule="exact"/>
        <w:textAlignment w:val="auto"/>
        <w:rPr>
          <w:rFonts w:hint="eastAsia"/>
          <w:strike w:val="0"/>
          <w:dstrike w:val="0"/>
          <w:color w:val="auto"/>
          <w:sz w:val="32"/>
          <w:szCs w:val="32"/>
          <w:highlight w:val="none"/>
          <w:u w:val="none" w:color="auto"/>
          <w:shd w:val="clear" w:color="auto" w:fill="auto"/>
          <w:lang w:val="en-US" w:eastAsia="zh-CN"/>
        </w:rPr>
      </w:pPr>
      <w:bookmarkStart w:id="109" w:name="_Toc2058867311"/>
      <w:r>
        <w:rPr>
          <w:rFonts w:hint="eastAsia"/>
          <w:strike w:val="0"/>
          <w:dstrike w:val="0"/>
          <w:color w:val="auto"/>
          <w:sz w:val="32"/>
          <w:szCs w:val="32"/>
          <w:highlight w:val="none"/>
          <w:u w:val="none" w:color="auto"/>
          <w:shd w:val="clear" w:color="auto" w:fill="auto"/>
          <w:lang w:val="en-US" w:eastAsia="zh-CN"/>
        </w:rPr>
        <w:t>第五节 进一步深化园区改革</w:t>
      </w:r>
      <w:bookmarkEnd w:id="109"/>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trike w:val="0"/>
          <w:dstrike w:val="0"/>
          <w:color w:val="auto"/>
          <w:sz w:val="32"/>
          <w:szCs w:val="32"/>
          <w:highlight w:val="none"/>
          <w:u w:val="none" w:color="auto"/>
          <w:lang w:val="en-US" w:eastAsia="zh-CN"/>
        </w:rPr>
      </w:pP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聚焦制约高质量发展的重点难点问题和深层次矛盾，制定园区改革方案。深化人事制度改革，细化完善内设机构人员管理机制，畅通园区人员流动渠道。优化以绩效为核心的园区薪酬分配制度，进一步激发干事创业活力。全面提升干部队伍的执行力，打造一支政治坚定、思想过硬、作风务实，能够适应发展需要的干部队伍。完善“管委会</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公司”运营模式。管委会突出发展规划、行政审批、投资促进等职能，国企公司聚焦开发建设、管理运营、招商引资、投融资等市场化业务。推动园区国有企业建立现代企业制度，探索政企分离、管运分开的运营模式。</w:t>
      </w:r>
      <w:r>
        <w:rPr>
          <w:rFonts w:hint="eastAsia" w:ascii="仿宋_GB2312" w:hAnsi="仿宋_GB2312" w:eastAsia="仿宋_GB2312" w:cs="仿宋_GB2312"/>
          <w:strike w:val="0"/>
          <w:dstrike w:val="0"/>
          <w:color w:val="auto"/>
          <w:sz w:val="32"/>
          <w:szCs w:val="32"/>
          <w:highlight w:val="none"/>
          <w:u w:val="none" w:color="auto"/>
          <w:lang w:val="en-US" w:eastAsia="zh-CN"/>
        </w:rPr>
        <w:t>持续提升园区土地利用效率，优化产业空间布局，系统完善基础设施，增强综合承载能力。构建高质量的“3+N”产业链，推动产业集群化发展。强化园区招商引资主力军作用，加大项目招引与闲置资产盘活力度，加快重点项目建设。全面推进节能降碳，着力打造零碳园区、循环产业园区及储能特色园区。</w:t>
      </w:r>
    </w:p>
    <w:p>
      <w:pPr>
        <w:pStyle w:val="3"/>
        <w:pageBreakBefore w:val="0"/>
        <w:widowControl w:val="0"/>
        <w:kinsoku/>
        <w:wordWrap/>
        <w:overflowPunct/>
        <w:topLinePunct w:val="0"/>
        <w:autoSpaceDE/>
        <w:autoSpaceDN/>
        <w:bidi w:val="0"/>
        <w:spacing w:line="600" w:lineRule="exact"/>
        <w:textAlignment w:val="auto"/>
        <w:rPr>
          <w:rFonts w:hint="eastAsia"/>
          <w:strike w:val="0"/>
          <w:dstrike w:val="0"/>
          <w:color w:val="auto"/>
          <w:sz w:val="32"/>
          <w:szCs w:val="32"/>
          <w:highlight w:val="none"/>
          <w:u w:val="none" w:color="auto"/>
          <w:shd w:val="clear" w:color="auto" w:fill="auto"/>
          <w:lang w:val="en-US" w:eastAsia="zh-CN"/>
        </w:rPr>
      </w:pPr>
      <w:bookmarkStart w:id="110" w:name="_Toc261851294"/>
      <w:r>
        <w:rPr>
          <w:rFonts w:hint="eastAsia"/>
          <w:strike w:val="0"/>
          <w:dstrike w:val="0"/>
          <w:color w:val="auto"/>
          <w:sz w:val="32"/>
          <w:szCs w:val="32"/>
          <w:highlight w:val="none"/>
          <w:u w:val="none" w:color="auto"/>
          <w:shd w:val="clear" w:color="auto" w:fill="auto"/>
          <w:lang w:val="en-US" w:eastAsia="zh-CN"/>
        </w:rPr>
        <w:t>第七章 立足自身资源禀赋，主动服务和融入新发展格局</w:t>
      </w:r>
      <w:bookmarkEnd w:id="110"/>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pP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深化供给侧结构性改革，</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充分发挥消费的基础作用、投资的关键作用，推动经济实现良性循环</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注重内外联动发展，用好国际国内两个市场、两种资源。</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积极参与“一带一路”建设，发挥庄河区位、产业、交通等优势，做优做强高能级开放平台，发展更高层次的开放型经济。</w:t>
      </w:r>
    </w:p>
    <w:p>
      <w:pPr>
        <w:pStyle w:val="4"/>
        <w:pageBreakBefore w:val="0"/>
        <w:widowControl w:val="0"/>
        <w:kinsoku/>
        <w:wordWrap/>
        <w:overflowPunct/>
        <w:topLinePunct w:val="0"/>
        <w:autoSpaceDE/>
        <w:autoSpaceDN/>
        <w:bidi w:val="0"/>
        <w:spacing w:line="600" w:lineRule="exact"/>
        <w:textAlignment w:val="auto"/>
        <w:rPr>
          <w:rFonts w:hint="default"/>
          <w:strike w:val="0"/>
          <w:dstrike w:val="0"/>
          <w:color w:val="auto"/>
          <w:sz w:val="32"/>
          <w:szCs w:val="32"/>
          <w:highlight w:val="none"/>
          <w:u w:val="none" w:color="auto"/>
          <w:shd w:val="clear" w:color="auto" w:fill="auto"/>
          <w:lang w:val="en-US" w:eastAsia="zh-CN"/>
        </w:rPr>
      </w:pPr>
      <w:bookmarkStart w:id="111" w:name="_Toc1959167327"/>
      <w:bookmarkStart w:id="112" w:name="_Toc817037571"/>
      <w:r>
        <w:rPr>
          <w:rFonts w:hint="eastAsia"/>
          <w:strike w:val="0"/>
          <w:dstrike w:val="0"/>
          <w:color w:val="auto"/>
          <w:sz w:val="32"/>
          <w:szCs w:val="32"/>
          <w:highlight w:val="none"/>
          <w:u w:val="none" w:color="auto"/>
          <w:shd w:val="clear" w:color="auto" w:fill="auto"/>
          <w:lang w:val="en-US" w:eastAsia="zh-CN"/>
        </w:rPr>
        <w:t>第一节 实施供给提质行动，全面提振消费活力</w:t>
      </w:r>
      <w:bookmarkEnd w:id="111"/>
      <w:bookmarkEnd w:id="112"/>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完善商业布局体系。</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加快黄海大街商圈与万达商圈整体形象提升，推动商圈内一批重点载体设施改造和业态升级，促进区域商圈错位发展。在商业中心、重点旅游景区规划建设若干具有庄河地方特色的旅游休闲商业街区、特色业态专业街区。着力将五一南街、泰昌路美食街等重点街区打造成为高品位步行街。推动商贸步行街、庄河上下街文化商业街、将军湖休闲娱乐商业街、东大学城商业街等街区升级。加强社区商业建设规划布局，</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引导连锁经营、电商、品牌企业进社区</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，完善邻里中心、“互联网＋便利店”等新型社区商业模式</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，持续推动菜市场、菜店标准化改造，扩围升级一刻钟便民生活圈</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。构建形成“2个县级商业中心＋8条特色街区＋11个一刻钟便民生活圈”的商业空间网络。</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pPr>
      <w:r>
        <w:rPr>
          <w:rFonts w:hint="eastAsia"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t>推动消费业态升级。</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招引一批具有强大市场运营能力的商业运营商，盘活存量商贸设施，集聚多元化业态、场景和服务，一站式满足多元消费需求。支持庄河特色消费品牌建设，加快提升产品品质、增加文化内涵，为产品注入智能、绿色、健康等新元素，推动国潮消费、智能消费、绿色消费、康养消费等加快发展，积极推进“辽宁优品”品牌建设。加大“名企、名店、名品”和新型业态招引力度，提升高品质消费吸引力。</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积极发展夜间经济、体验经济、冰雪经济，发展无接触交易服务，促进线上线下有机融合。</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围绕“夜购、夜味、夜娱”等主题，打造若干个夜间消费集聚区。</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实施提振消费行动。</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鼓励企业开展多元化优惠活动，常态化开展促消费系列活动。加大直达消费者的普惠政策力度，完善废旧家电回收处理体系，促进汽车、家电、家装等耐用消费品以旧换新，推动汽车换“能”、家电换“智”。多渠道多方式完善消费引导政策，营造公平竞争、守法有序的市场环境。引导树立节约适度、绿色低碳、文明健康的消费理念。健全线上线下一体化监管机制，加大对平台型消费供给主体的监管力度，开展重要产品追溯，依法保障消费者合法权益。</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t>促进线上线下融合发展。</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引导电商平台、电商服务商、电商运营企业集聚发展，与庄河农产品、水产品、服装、家具等产业集群企业合作搭建产销对接平台，打造具有庄河地域特色的电商品牌。鼓励电商企业通过新建、收购、合作等途径布局线下实体店，丰富线下体验功能。支持电商平台通过在农产品产销地批发市场和农贸市场设立免费直销专区等形式，发展直供直销。支持农民合作社开展产销一体化经营。鼓励举办电商展会、直播大赛等活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优化商贸基础设施。</w:t>
      </w:r>
      <w:r>
        <w:rPr>
          <w:rFonts w:hint="eastAsia" w:ascii="仿宋_GB2312" w:hAnsi="仿宋_GB2312" w:eastAsia="仿宋_GB2312" w:cs="仿宋_GB2312"/>
          <w:strike w:val="0"/>
          <w:dstrike w:val="0"/>
          <w:color w:val="auto"/>
          <w:sz w:val="32"/>
          <w:szCs w:val="32"/>
          <w:highlight w:val="none"/>
          <w:u w:val="none" w:color="auto"/>
        </w:rPr>
        <w:t>培育特色商品交易市场</w:t>
      </w:r>
      <w:r>
        <w:rPr>
          <w:rFonts w:hint="eastAsia" w:ascii="仿宋_GB2312" w:hAnsi="仿宋_GB2312" w:eastAsia="仿宋_GB2312" w:cs="仿宋_GB2312"/>
          <w:strike w:val="0"/>
          <w:dstrike w:val="0"/>
          <w:color w:val="auto"/>
          <w:sz w:val="32"/>
          <w:szCs w:val="32"/>
          <w:highlight w:val="none"/>
          <w:u w:val="none" w:color="auto"/>
          <w:lang w:eastAsia="zh-CN"/>
        </w:rPr>
        <w:t>，</w:t>
      </w:r>
      <w:r>
        <w:rPr>
          <w:rFonts w:hint="eastAsia" w:ascii="仿宋_GB2312" w:hAnsi="仿宋_GB2312" w:eastAsia="仿宋_GB2312" w:cs="仿宋_GB2312"/>
          <w:strike w:val="0"/>
          <w:dstrike w:val="0"/>
          <w:color w:val="auto"/>
          <w:sz w:val="32"/>
          <w:szCs w:val="32"/>
          <w:highlight w:val="none"/>
          <w:u w:val="none" w:color="auto"/>
        </w:rPr>
        <w:t>发展与</w:t>
      </w:r>
      <w:r>
        <w:rPr>
          <w:rFonts w:hint="eastAsia" w:ascii="仿宋_GB2312" w:hAnsi="仿宋_GB2312" w:eastAsia="仿宋_GB2312" w:cs="仿宋_GB2312"/>
          <w:strike w:val="0"/>
          <w:dstrike w:val="0"/>
          <w:color w:val="auto"/>
          <w:sz w:val="32"/>
          <w:szCs w:val="32"/>
          <w:highlight w:val="none"/>
          <w:u w:val="none" w:color="auto"/>
          <w:lang w:eastAsia="zh-CN"/>
        </w:rPr>
        <w:t>庄河</w:t>
      </w:r>
      <w:r>
        <w:rPr>
          <w:rFonts w:hint="eastAsia" w:ascii="仿宋_GB2312" w:hAnsi="仿宋_GB2312" w:eastAsia="仿宋_GB2312" w:cs="仿宋_GB2312"/>
          <w:strike w:val="0"/>
          <w:dstrike w:val="0"/>
          <w:color w:val="auto"/>
          <w:sz w:val="32"/>
          <w:szCs w:val="32"/>
          <w:highlight w:val="none"/>
          <w:u w:val="none" w:color="auto"/>
        </w:rPr>
        <w:t>产业相关的生产资料大市场，建设改造一批乡镇商贸中心</w:t>
      </w:r>
      <w:r>
        <w:rPr>
          <w:rFonts w:hint="eastAsia" w:ascii="仿宋_GB2312" w:hAnsi="仿宋_GB2312" w:eastAsia="仿宋_GB2312" w:cs="仿宋_GB2312"/>
          <w:strike w:val="0"/>
          <w:dstrike w:val="0"/>
          <w:color w:val="auto"/>
          <w:sz w:val="32"/>
          <w:szCs w:val="32"/>
          <w:highlight w:val="none"/>
          <w:u w:val="none" w:color="auto"/>
          <w:lang w:eastAsia="zh-CN"/>
        </w:rPr>
        <w:t>。支持市场</w:t>
      </w:r>
      <w:r>
        <w:rPr>
          <w:rFonts w:hint="eastAsia" w:ascii="仿宋_GB2312" w:hAnsi="仿宋_GB2312" w:eastAsia="仿宋_GB2312" w:cs="仿宋_GB2312"/>
          <w:strike w:val="0"/>
          <w:dstrike w:val="0"/>
          <w:color w:val="auto"/>
          <w:sz w:val="32"/>
          <w:szCs w:val="32"/>
          <w:highlight w:val="none"/>
          <w:u w:val="none" w:color="auto"/>
        </w:rPr>
        <w:t>拓展商品展示、研发设计、品牌孵化、电商直播、物流配送等功能</w:t>
      </w:r>
      <w:r>
        <w:rPr>
          <w:rFonts w:hint="eastAsia" w:ascii="仿宋_GB2312" w:hAnsi="仿宋_GB2312" w:eastAsia="仿宋_GB2312" w:cs="仿宋_GB2312"/>
          <w:strike w:val="0"/>
          <w:dstrike w:val="0"/>
          <w:color w:val="auto"/>
          <w:sz w:val="32"/>
          <w:szCs w:val="32"/>
          <w:highlight w:val="none"/>
          <w:u w:val="none" w:color="auto"/>
          <w:lang w:eastAsia="zh-CN"/>
        </w:rPr>
        <w:t>。</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合理规划和布局城市物流节点，</w:t>
      </w:r>
      <w:r>
        <w:rPr>
          <w:rFonts w:hint="eastAsia" w:ascii="仿宋_GB2312" w:hAnsi="仿宋_GB2312" w:eastAsia="仿宋_GB2312" w:cs="仿宋_GB2312"/>
          <w:strike w:val="0"/>
          <w:dstrike w:val="0"/>
          <w:color w:val="auto"/>
          <w:sz w:val="32"/>
          <w:szCs w:val="32"/>
          <w:highlight w:val="none"/>
          <w:u w:val="none" w:color="auto"/>
        </w:rPr>
        <w:t>鼓励商贸企业下沉渠道，整合商贸流通、供销、交通、邮政、快递等物流服务资源，</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构建城乡高效配送体系，推动消费新业态向农村市场拓展。推动商贸、物流企业以联盟、共同持股等多种形式发展快速消费品、农副产品（生鲜食品）、家电等民生商品的共同配送。鼓励仓储集聚化发展，开展集中配送。</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00" w:type="dxa"/>
          </w:tcPr>
          <w:p>
            <w:pPr>
              <w:jc w:val="center"/>
              <w:rPr>
                <w:rFonts w:hint="eastAsia" w:ascii="黑体" w:hAnsi="黑体" w:eastAsia="黑体" w:cs="黑体"/>
                <w:strike w:val="0"/>
                <w:dstrike w:val="0"/>
                <w:color w:val="auto"/>
                <w:sz w:val="24"/>
                <w:szCs w:val="24"/>
                <w:highlight w:val="none"/>
                <w:u w:val="none" w:color="auto"/>
                <w:lang w:val="en-US" w:eastAsia="zh-CN"/>
              </w:rPr>
            </w:pPr>
            <w:r>
              <w:rPr>
                <w:rFonts w:hint="eastAsia" w:ascii="黑体" w:hAnsi="黑体" w:eastAsia="黑体" w:cs="黑体"/>
                <w:strike w:val="0"/>
                <w:dstrike w:val="0"/>
                <w:color w:val="auto"/>
                <w:sz w:val="24"/>
                <w:szCs w:val="24"/>
                <w:highlight w:val="none"/>
                <w:u w:val="none" w:color="auto"/>
                <w:lang w:val="en-US" w:eastAsia="zh-CN"/>
              </w:rPr>
              <w:t>专栏2 商贸物流重点工程</w:t>
            </w:r>
          </w:p>
          <w:p>
            <w:pPr>
              <w:keepNext w:val="0"/>
              <w:keepLines w:val="0"/>
              <w:pageBreakBefore w:val="0"/>
              <w:widowControl w:val="0"/>
              <w:kinsoku/>
              <w:wordWrap/>
              <w:overflowPunct/>
              <w:topLinePunct w:val="0"/>
              <w:bidi w:val="0"/>
              <w:adjustRightInd/>
              <w:snapToGrid/>
              <w:spacing w:line="400" w:lineRule="exact"/>
              <w:textAlignment w:val="auto"/>
              <w:rPr>
                <w:rFonts w:hint="eastAsia"/>
                <w:strike w:val="0"/>
                <w:dstrike w:val="0"/>
                <w:color w:val="auto"/>
                <w:highlight w:val="none"/>
                <w:u w:val="none" w:color="auto"/>
                <w:lang w:val="en-US" w:eastAsia="zh-CN"/>
              </w:rPr>
            </w:pP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asciiTheme="minorEastAsia" w:hAnsiTheme="minorEastAsia" w:eastAsiaTheme="minorEastAsia" w:cstheme="minorEastAsia"/>
                <w:b w:val="0"/>
                <w:bCs w:val="0"/>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highlight w:val="none"/>
                <w:u w:val="none" w:color="auto"/>
                <w:lang w:val="en-US" w:eastAsia="zh-CN"/>
              </w:rPr>
              <w:t>商圈提升工程：</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推进庄河盛世新天地MALL、香港广场升级改造，提升万达广场消费节庆氛围，拓展长河悦湖、居然之家消费功能。重点对泰昌路、文汇路、向阳路北段、永兴街、五一南街等街区提质升级，对庄河老街等历史文化街区进行保护性修复重建，培育东西大学城、东方湖湿地公园、熙海里等一批新锐消费街区。到2030年，打造2条以上</w:t>
            </w:r>
            <w:r>
              <w:rPr>
                <w:rFonts w:hint="eastAsia" w:asciiTheme="minorEastAsia" w:hAnsiTheme="minorEastAsia" w:cstheme="minorEastAsia"/>
                <w:b w:val="0"/>
                <w:bCs w:val="0"/>
                <w:strike w:val="0"/>
                <w:dstrike w:val="0"/>
                <w:color w:val="auto"/>
                <w:highlight w:val="none"/>
                <w:u w:val="none" w:color="auto"/>
                <w:lang w:val="en-US" w:eastAsia="zh-CN"/>
              </w:rPr>
              <w:t>优质</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步行街。</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asciiTheme="minorEastAsia" w:hAnsiTheme="minorEastAsia" w:eastAsiaTheme="minorEastAsia" w:cstheme="minorEastAsia"/>
                <w:b w:val="0"/>
                <w:bCs w:val="0"/>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cstheme="minorEastAsia"/>
                <w:b/>
                <w:bCs/>
                <w:strike w:val="0"/>
                <w:dstrike w:val="0"/>
                <w:color w:val="auto"/>
                <w:highlight w:val="none"/>
                <w:u w:val="none" w:color="auto"/>
                <w:lang w:val="en-US" w:eastAsia="zh-CN"/>
              </w:rPr>
              <w:t>便民生活圈工程</w:t>
            </w:r>
            <w:r>
              <w:rPr>
                <w:rFonts w:hint="eastAsia" w:asciiTheme="minorEastAsia" w:hAnsiTheme="minorEastAsia" w:eastAsiaTheme="minorEastAsia" w:cstheme="minorEastAsia"/>
                <w:b/>
                <w:bCs/>
                <w:strike w:val="0"/>
                <w:dstrike w:val="0"/>
                <w:color w:val="auto"/>
                <w:highlight w:val="none"/>
                <w:u w:val="none" w:color="auto"/>
                <w:lang w:val="en-US" w:eastAsia="zh-CN"/>
              </w:rPr>
              <w:t>：</w:t>
            </w:r>
            <w:r>
              <w:rPr>
                <w:rFonts w:hint="eastAsia"/>
                <w:b w:val="0"/>
                <w:bCs w:val="0"/>
                <w:strike w:val="0"/>
                <w:dstrike w:val="0"/>
                <w:color w:val="auto"/>
                <w:highlight w:val="none"/>
                <w:u w:val="none" w:color="auto"/>
                <w:lang w:val="en-US" w:eastAsia="zh-CN"/>
              </w:rPr>
              <w:t>推进三寰大街、向阳桥、泰昌路、老庙岭、新天地、林荫国际、将军湖、长河悦湖、临港以及东、西大学城一刻钟便民生活圈。</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asciiTheme="minorEastAsia" w:hAnsiTheme="minorEastAsia" w:eastAsiaTheme="minorEastAsia" w:cstheme="minorEastAsia"/>
                <w:b w:val="0"/>
                <w:bCs w:val="0"/>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highlight w:val="none"/>
                <w:u w:val="none" w:color="auto"/>
                <w:lang w:val="en-US" w:eastAsia="zh-CN"/>
              </w:rPr>
              <w:t>农产品流通市场体系建设工程 ：</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全面建成具备农产品上行和工业品下行服务功能的县级电商公共服务中心和26个乡镇级电商服务站及134个村电商服务点</w:t>
            </w:r>
            <w:r>
              <w:rPr>
                <w:rFonts w:hint="eastAsia" w:asciiTheme="minorEastAsia" w:hAnsiTheme="minorEastAsia" w:cstheme="minorEastAsia"/>
                <w:b w:val="0"/>
                <w:bCs w:val="0"/>
                <w:strike w:val="0"/>
                <w:dstrike w:val="0"/>
                <w:color w:val="auto"/>
                <w:highlight w:val="none"/>
                <w:u w:val="none" w:color="auto"/>
                <w:lang w:val="en-US" w:eastAsia="zh-CN"/>
              </w:rPr>
              <w:t>。</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布局20个以上农产品加工、仓储、物流站点</w:t>
            </w:r>
            <w:r>
              <w:rPr>
                <w:rFonts w:hint="eastAsia" w:asciiTheme="minorEastAsia" w:hAnsiTheme="minorEastAsia" w:cstheme="minorEastAsia"/>
                <w:b w:val="0"/>
                <w:bCs w:val="0"/>
                <w:strike w:val="0"/>
                <w:dstrike w:val="0"/>
                <w:color w:val="auto"/>
                <w:highlight w:val="none"/>
                <w:u w:val="none" w:color="auto"/>
                <w:lang w:val="en-US" w:eastAsia="zh-CN"/>
              </w:rPr>
              <w:t>。</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升级改造重点农贸市场3个，新建农（水）产品批发市场2个、连锁生鲜超市5个。</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strike w:val="0"/>
                <w:dstrike w:val="0"/>
                <w:color w:val="auto"/>
                <w:highlight w:val="none"/>
                <w:u w:val="none" w:color="auto"/>
                <w:shd w:val="clear" w:color="auto" w:fill="auto"/>
                <w:vertAlign w:val="baseline"/>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highlight w:val="none"/>
                <w:u w:val="none" w:color="auto"/>
                <w:lang w:val="en-US" w:eastAsia="zh-CN"/>
              </w:rPr>
              <w:t>庄河农（水）产品数字营销体验中心项目：</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择优选择一个地方特色农产品展示和销售平台，对其进行数字化、智能化升级。通过引入智能展示设备和互动体验技术，提升农产品的展示效果和消费体验，打造集展示、销售、体验、宣传于一体的数字营销新空间。</w:t>
            </w:r>
          </w:p>
        </w:tc>
      </w:tr>
    </w:tbl>
    <w:p>
      <w:pPr>
        <w:pStyle w:val="4"/>
        <w:bidi w:val="0"/>
        <w:rPr>
          <w:rFonts w:hint="eastAsia"/>
          <w:strike w:val="0"/>
          <w:dstrike w:val="0"/>
          <w:color w:val="auto"/>
          <w:highlight w:val="none"/>
          <w:u w:val="none" w:color="auto"/>
          <w:lang w:val="en-US" w:eastAsia="zh-CN"/>
        </w:rPr>
      </w:pPr>
      <w:bookmarkStart w:id="113" w:name="_Toc605455790"/>
      <w:bookmarkStart w:id="114" w:name="_Toc358505438"/>
      <w:r>
        <w:rPr>
          <w:rFonts w:hint="eastAsia"/>
          <w:strike w:val="0"/>
          <w:dstrike w:val="0"/>
          <w:color w:val="auto"/>
          <w:highlight w:val="none"/>
          <w:u w:val="none" w:color="auto"/>
          <w:lang w:val="en-US" w:eastAsia="zh-CN"/>
        </w:rPr>
        <w:t>第二节 优化投资结构布局，全力扩大有效投资</w:t>
      </w:r>
      <w:bookmarkEnd w:id="113"/>
      <w:bookmarkEnd w:id="114"/>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统筹高效用好政府投资。</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健全政府投资协同联动机制，完善科学决策程序，强化投资安排与发展规划、产业政策的高效协同。把政府投资与人民高品质生活紧密结合起来，把“投资于物”与“投资于人”紧密结合起来，持续增加教育、医疗、文化、养老、托育等民生领域投资。紧扣国家发展战略，聚焦民生保障、基础设施需求等方面，谋划储备一批契合庄河实际的补短板、强弱项项目。结合长期发展目标和长远发展需求，前瞻谋划一批符合庄河发展方向的战略性、长远性的项目。推动政府投资计划与财政预算、专项债券发行高效衔接，确保投资能力与建设需求动态平衡。建立健全政府投资全生命周期管理和后评价机制，加强政府投资项目资金监管，防范拖欠中小企业账款。</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高水平调动社会投资。</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构建民间投资全链条保障体系，快速解决民间投资项目前期手续办理问题，提高民间投资效率。引导社会资本投向更广领域，围绕国家、省级政策重点支持领域，引导和支持企业加大重大产业项目投资力度，支持企业设备更新和技术改造。完善社会投资参与国家重大项目建设长效机制，深化投资审批制度改革，规范创新投融资新模式应用，有序实施政府和社会资本合作新机制（PPP）、基础设施领域不动产投资信托基金（REITs）等模式，积极用好政策性开发性金融工具等长期资金，为重大项目建设提供稳定、多元的融资保障。</w:t>
      </w:r>
    </w:p>
    <w:p>
      <w:pPr>
        <w:pStyle w:val="4"/>
        <w:pageBreakBefore w:val="0"/>
        <w:widowControl w:val="0"/>
        <w:kinsoku/>
        <w:wordWrap/>
        <w:overflowPunct/>
        <w:topLinePunct w:val="0"/>
        <w:autoSpaceDE/>
        <w:autoSpaceDN/>
        <w:bidi w:val="0"/>
        <w:spacing w:line="600" w:lineRule="exact"/>
        <w:textAlignment w:val="auto"/>
        <w:rPr>
          <w:rFonts w:hint="eastAsia"/>
          <w:strike w:val="0"/>
          <w:dstrike w:val="0"/>
          <w:color w:val="auto"/>
          <w:highlight w:val="none"/>
          <w:u w:val="none" w:color="auto"/>
          <w:shd w:val="clear" w:color="auto" w:fill="auto"/>
          <w:lang w:val="en-US" w:eastAsia="zh-CN"/>
        </w:rPr>
      </w:pPr>
      <w:bookmarkStart w:id="115" w:name="_Toc994185449"/>
      <w:r>
        <w:rPr>
          <w:rFonts w:hint="eastAsia"/>
          <w:strike w:val="0"/>
          <w:dstrike w:val="0"/>
          <w:color w:val="auto"/>
          <w:highlight w:val="none"/>
          <w:u w:val="none" w:color="auto"/>
          <w:shd w:val="clear" w:color="auto" w:fill="auto"/>
          <w:lang w:val="en-US" w:eastAsia="zh-CN"/>
        </w:rPr>
        <w:t>第三节 提升开放合作水平，实现双循环良性互动</w:t>
      </w:r>
      <w:bookmarkEnd w:id="115"/>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pPr>
      <w:r>
        <w:rPr>
          <w:rFonts w:hint="eastAsia"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t>大力开拓多元化外贸市场。</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鼓励企业借助广交会、中国</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东盟博览会、水产品大会及进博会等重点展会平台，积极推介自有出口品牌，拓展进出口业务。在巩固欧美、日韩等重点市场基础上，</w:t>
      </w:r>
      <w:r>
        <w:rPr>
          <w:rFonts w:hint="default"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借助RCEP政策优势和“一带一路”</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建设</w:t>
      </w:r>
      <w:r>
        <w:rPr>
          <w:rFonts w:hint="default"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机遇，积极开拓东南亚、中东</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、南美</w:t>
      </w:r>
      <w:r>
        <w:rPr>
          <w:rFonts w:hint="default"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等新兴市场</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w:t>
      </w:r>
      <w:r>
        <w:rPr>
          <w:rFonts w:hint="eastAsia" w:ascii="仿宋_GB2312" w:hAnsi="仿宋_GB2312" w:eastAsia="仿宋_GB2312" w:cs="仿宋_GB2312"/>
          <w:strike w:val="0"/>
          <w:dstrike w:val="0"/>
          <w:color w:val="auto"/>
          <w:sz w:val="32"/>
          <w:szCs w:val="32"/>
          <w:highlight w:val="none"/>
          <w:u w:val="none" w:color="auto"/>
        </w:rPr>
        <w:t>不断提高</w:t>
      </w:r>
      <w:r>
        <w:rPr>
          <w:rFonts w:hint="eastAsia" w:ascii="仿宋_GB2312" w:hAnsi="仿宋_GB2312" w:eastAsia="仿宋_GB2312" w:cs="仿宋_GB2312"/>
          <w:strike w:val="0"/>
          <w:dstrike w:val="0"/>
          <w:color w:val="auto"/>
          <w:sz w:val="32"/>
          <w:szCs w:val="32"/>
          <w:highlight w:val="none"/>
          <w:u w:val="none" w:color="auto"/>
          <w:lang w:eastAsia="zh-CN"/>
        </w:rPr>
        <w:t>在</w:t>
      </w:r>
      <w:r>
        <w:rPr>
          <w:rFonts w:hint="eastAsia" w:ascii="仿宋_GB2312" w:hAnsi="仿宋_GB2312" w:eastAsia="仿宋_GB2312" w:cs="仿宋_GB2312"/>
          <w:strike w:val="0"/>
          <w:dstrike w:val="0"/>
          <w:color w:val="auto"/>
          <w:sz w:val="32"/>
          <w:szCs w:val="32"/>
          <w:highlight w:val="none"/>
          <w:u w:val="none" w:color="auto"/>
        </w:rPr>
        <w:t>“一带一路”沿线国家地区市场占有率</w:t>
      </w:r>
      <w:r>
        <w:rPr>
          <w:rFonts w:hint="eastAsia" w:ascii="仿宋_GB2312" w:hAnsi="仿宋_GB2312" w:eastAsia="仿宋_GB2312" w:cs="仿宋_GB2312"/>
          <w:strike w:val="0"/>
          <w:dstrike w:val="0"/>
          <w:color w:val="auto"/>
          <w:sz w:val="32"/>
          <w:szCs w:val="32"/>
          <w:highlight w:val="none"/>
          <w:u w:val="none" w:color="auto"/>
          <w:lang w:val="en-US" w:eastAsia="zh-CN"/>
        </w:rPr>
        <w:t>。</w:t>
      </w:r>
      <w:r>
        <w:rPr>
          <w:rFonts w:hint="default"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加强外贸政策宣传与落实，</w:t>
      </w:r>
      <w:r>
        <w:rPr>
          <w:rFonts w:hint="default" w:ascii="仿宋_GB2312" w:hAnsi="仿宋_GB2312" w:eastAsia="仿宋_GB2312" w:cs="仿宋_GB2312"/>
          <w:strike w:val="0"/>
          <w:dstrike w:val="0"/>
          <w:color w:val="auto"/>
          <w:sz w:val="32"/>
          <w:szCs w:val="32"/>
          <w:highlight w:val="none"/>
          <w:u w:val="none" w:color="auto"/>
          <w:lang w:val="en-US" w:eastAsia="zh-CN"/>
        </w:rPr>
        <w:t>为企业开拓新兴市场提供信息、法律、金融等服务支持</w:t>
      </w:r>
      <w:r>
        <w:rPr>
          <w:rFonts w:hint="eastAsia" w:ascii="仿宋_GB2312" w:hAnsi="仿宋_GB2312" w:eastAsia="仿宋_GB2312" w:cs="仿宋_GB2312"/>
          <w:strike w:val="0"/>
          <w:dstrike w:val="0"/>
          <w:color w:val="auto"/>
          <w:sz w:val="32"/>
          <w:szCs w:val="32"/>
          <w:highlight w:val="none"/>
          <w:u w:val="none" w:color="auto"/>
          <w:lang w:val="en-US" w:eastAsia="zh-CN"/>
        </w:rPr>
        <w:t>，</w:t>
      </w:r>
      <w:r>
        <w:rPr>
          <w:rFonts w:hint="default"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积极引导企业运用好出口信用保险等外贸政策工具，</w:t>
      </w:r>
      <w:r>
        <w:rPr>
          <w:rFonts w:hint="eastAsia" w:ascii="仿宋_GB2312" w:hAnsi="仿宋_GB2312" w:eastAsia="仿宋_GB2312" w:cs="仿宋_GB2312"/>
          <w:strike w:val="0"/>
          <w:dstrike w:val="0"/>
          <w:color w:val="auto"/>
          <w:sz w:val="32"/>
          <w:szCs w:val="32"/>
          <w:highlight w:val="none"/>
          <w:u w:val="none" w:color="auto"/>
        </w:rPr>
        <w:t>提升企业利用自贸协定优惠政策</w:t>
      </w:r>
      <w:r>
        <w:rPr>
          <w:rFonts w:hint="eastAsia" w:ascii="仿宋_GB2312" w:hAnsi="仿宋_GB2312" w:eastAsia="仿宋_GB2312" w:cs="仿宋_GB2312"/>
          <w:strike w:val="0"/>
          <w:dstrike w:val="0"/>
          <w:color w:val="auto"/>
          <w:sz w:val="32"/>
          <w:szCs w:val="32"/>
          <w:highlight w:val="none"/>
          <w:u w:val="none" w:color="auto"/>
          <w:lang w:val="en-US" w:eastAsia="zh-CN"/>
        </w:rPr>
        <w:t>拓展市场的能力，</w:t>
      </w:r>
      <w:r>
        <w:rPr>
          <w:rFonts w:hint="default"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降低外贸出口风险</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pPr>
      <w:r>
        <w:rPr>
          <w:rFonts w:hint="eastAsia"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t>引导企业由产品竞争向品牌竞争转变。</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注重境外商标注册、境外专利申请和获取国际市场产品认证、海关高级认证，扩大企业知名度和美誉度，提升产品的议价能力。全力推动建立大连（庄河）加工贸易水产品技术性贸易措施研究评议基地，打造公共管理、技术和信息交流平台，引导企业参与国内外标准制定、国外技术性贸易措施评议。深耕水产品、农产品等传统出口优势领域，鼓励外贸企业加大研发投入，加快引进先进设备、技术和高端人才，推动产品通过HACCP、BRC等国际认证，培育自主知识产权，扩大高技术、高质量、高附加值产品的出口规模。</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pPr>
      <w:r>
        <w:rPr>
          <w:rFonts w:hint="eastAsia"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t>推动</w:t>
      </w:r>
      <w:r>
        <w:rPr>
          <w:rFonts w:hint="default"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t>内外贸一体化发展</w:t>
      </w:r>
      <w:r>
        <w:rPr>
          <w:rFonts w:hint="eastAsia"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t>。</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鼓励有实力的企业设立海外仓，深度融入境外市场，推动外贸业态及模式数字化改造，探索“市场采购贸易＋跨境电商＋外贸综合服务”新模式，实施“跨境电商破零行动”，激活跨境电商发展新动能。</w:t>
      </w:r>
      <w:r>
        <w:rPr>
          <w:rFonts w:hint="default"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鼓励企业出口转内销</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，支持出口企业发展“同线同标同质”产品，</w:t>
      </w:r>
      <w:r>
        <w:rPr>
          <w:rFonts w:hint="default"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助力企业与国内大型批发市场、商超、餐饮连锁店、电商平台等合作。</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pPr>
      <w:r>
        <w:rPr>
          <w:rFonts w:hint="eastAsia"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t>提高利用外资的质量和综合效益。</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推动外资招引模式向“产业链导向”转变，重点在新能源、新材料、生命健康、装备制造、现代农业、节能环保等领域拓展国际合作空间。积极推动和引导外资参与庄河先进制造业与服务业发展，支持参与产业链上下游配套协作，鼓励并引导外资本地再投资。</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00" w:type="dxa"/>
          </w:tcPr>
          <w:p>
            <w:pPr>
              <w:jc w:val="center"/>
              <w:rPr>
                <w:rFonts w:hint="eastAsia" w:ascii="黑体" w:hAnsi="黑体" w:eastAsia="黑体" w:cs="黑体"/>
                <w:strike w:val="0"/>
                <w:dstrike w:val="0"/>
                <w:color w:val="auto"/>
                <w:sz w:val="24"/>
                <w:szCs w:val="24"/>
                <w:highlight w:val="none"/>
                <w:u w:val="none" w:color="auto"/>
                <w:lang w:val="en-US" w:eastAsia="zh-CN"/>
              </w:rPr>
            </w:pPr>
            <w:r>
              <w:rPr>
                <w:rFonts w:hint="eastAsia" w:ascii="黑体" w:hAnsi="黑体" w:eastAsia="黑体" w:cs="黑体"/>
                <w:strike w:val="0"/>
                <w:dstrike w:val="0"/>
                <w:color w:val="auto"/>
                <w:sz w:val="24"/>
                <w:szCs w:val="24"/>
                <w:highlight w:val="none"/>
                <w:u w:val="none" w:color="auto"/>
                <w:lang w:val="en-US" w:eastAsia="zh-CN"/>
              </w:rPr>
              <w:t>专栏3 外贸发展重点工程</w:t>
            </w:r>
          </w:p>
          <w:p>
            <w:pPr>
              <w:keepNext w:val="0"/>
              <w:keepLines w:val="0"/>
              <w:pageBreakBefore w:val="0"/>
              <w:widowControl w:val="0"/>
              <w:kinsoku/>
              <w:wordWrap/>
              <w:overflowPunct/>
              <w:topLinePunct w:val="0"/>
              <w:bidi w:val="0"/>
              <w:adjustRightInd/>
              <w:snapToGrid/>
              <w:spacing w:line="400" w:lineRule="exact"/>
              <w:textAlignment w:val="auto"/>
              <w:rPr>
                <w:rFonts w:hint="eastAsia"/>
                <w:strike w:val="0"/>
                <w:dstrike w:val="0"/>
                <w:color w:val="auto"/>
                <w:highlight w:val="none"/>
                <w:u w:val="none" w:color="auto"/>
                <w:lang w:val="en-US" w:eastAsia="zh-CN"/>
              </w:rPr>
            </w:pP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strike w:val="0"/>
                <w:dstrike w:val="0"/>
                <w:color w:val="auto"/>
                <w:highlight w:val="none"/>
                <w:u w:val="none" w:color="auto"/>
                <w:shd w:val="clear" w:color="auto" w:fill="auto"/>
                <w:vertAlign w:val="baseline"/>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highlight w:val="none"/>
                <w:u w:val="none" w:color="auto"/>
                <w:lang w:val="en-US" w:eastAsia="zh-CN"/>
              </w:rPr>
              <w:t>大连（庄河）加工贸易水产品技术性贸易措施研究评议基地</w:t>
            </w:r>
            <w:r>
              <w:rPr>
                <w:rFonts w:hint="eastAsia" w:asciiTheme="minorEastAsia" w:hAnsiTheme="minorEastAsia" w:cstheme="minorEastAsia"/>
                <w:b/>
                <w:bCs/>
                <w:strike w:val="0"/>
                <w:dstrike w:val="0"/>
                <w:color w:val="auto"/>
                <w:highlight w:val="none"/>
                <w:u w:val="none" w:color="auto"/>
                <w:lang w:val="en-US" w:eastAsia="zh-CN"/>
              </w:rPr>
              <w:t>：</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承接国家技术性贸易措施研究评议工作，打造公共管理、技术和信息交流平台，做好国外技术法规及技术性贸易措施信息收集、整理、翻译、解读、更新维护与分析，及时向相关企业和行业协会等通报国外最新技术性贸易措施，发布风险预警信息，协助企业解决重大技术问题，引导企业参与国内外标准制定、国外技术性贸易措施评议等工作。</w:t>
            </w:r>
          </w:p>
        </w:tc>
      </w:tr>
    </w:tbl>
    <w:p>
      <w:pPr>
        <w:pStyle w:val="4"/>
        <w:pageBreakBefore w:val="0"/>
        <w:widowControl w:val="0"/>
        <w:kinsoku/>
        <w:wordWrap/>
        <w:overflowPunct/>
        <w:topLinePunct w:val="0"/>
        <w:autoSpaceDE/>
        <w:autoSpaceDN/>
        <w:bidi w:val="0"/>
        <w:spacing w:line="600" w:lineRule="exact"/>
        <w:textAlignment w:val="auto"/>
        <w:rPr>
          <w:rFonts w:hint="eastAsia"/>
          <w:strike w:val="0"/>
          <w:dstrike w:val="0"/>
          <w:color w:val="auto"/>
          <w:highlight w:val="none"/>
          <w:u w:val="none" w:color="auto"/>
          <w:shd w:val="clear" w:color="auto" w:fill="auto"/>
          <w:lang w:val="en-US" w:eastAsia="zh-CN"/>
        </w:rPr>
      </w:pPr>
      <w:r>
        <w:rPr>
          <w:rFonts w:hint="eastAsia"/>
          <w:strike w:val="0"/>
          <w:dstrike w:val="0"/>
          <w:color w:val="auto"/>
          <w:highlight w:val="none"/>
          <w:u w:val="none" w:color="auto"/>
          <w:shd w:val="clear" w:color="auto" w:fill="auto"/>
          <w:lang w:val="en-US" w:eastAsia="zh-CN"/>
        </w:rPr>
        <w:t xml:space="preserve"> </w:t>
      </w:r>
      <w:bookmarkStart w:id="116" w:name="_Toc1911076122"/>
      <w:r>
        <w:rPr>
          <w:rFonts w:hint="eastAsia"/>
          <w:strike w:val="0"/>
          <w:dstrike w:val="0"/>
          <w:color w:val="auto"/>
          <w:highlight w:val="none"/>
          <w:u w:val="none" w:color="auto"/>
          <w:shd w:val="clear" w:color="auto" w:fill="auto"/>
          <w:lang w:val="en-US" w:eastAsia="zh-CN"/>
        </w:rPr>
        <w:t>第四节 加强区域合作交流，构筑协调发展新格局</w:t>
      </w:r>
      <w:bookmarkEnd w:id="116"/>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深化区域协同发展。</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落实辽宁沿海经济带战略部署，积极融入辽宁省“一圈一带两区”及大连市域协同发展总体格局。积极参与沈大经济走廊建设，参与构建产业链协同共建机制，引导工业产品和中间产品融入优势供应体系，支持有条件的企业跨区域布局仓储物流和加工生产环节，按照市场化方式发展“飞地经济”。主动承接大连主城区产业转移和功能辐射，实现互补发展，服务大连东北亚国际航运中心、东北亚国际物流中心、区域性金融中心建设。以区域综合交通网络和物流体系、跨区域重大基础设施通道建设为抓手，完善开放平台功能，支持辽宁打造东北亚开放合作枢纽地。提升基础设施互联互通水平，推进公共服务便利共享，增强庄河在东北地区的影响力和辐射力，更好融入区域经济发展体系。</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扎实开展对口合作交流。</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持续完善与松江对口合作机制，加强政务服务合作交流，加快提升政府治理能力现代化水平。借鉴松江“放管服”改革最新成果，进一步完善营商环境政策举措。拓展两地在生态建设、资源共享、平台共建、项目对接、人才培养等领域的全方位合作。加强制造业产需对接合作，围绕新能源、高端装备、生物医药和新材料等优势产业，推动两地企业加强产需对接与产业链上下游整合。建立农产品产销对接关系，开展海鲜预制菜产业合作。加强文旅体育合作，积极打造疗休养新线路。聚焦人才项目对接、人才引育共推、人才服务共享、人才平台共建、人才环境共维等人才发展重点领域，开展人才工作对接交流。持续加强与京津冀、长三角、长江经济带、粤港澳大湾区、中西部地区的对接合作，</w:t>
      </w:r>
      <w:r>
        <w:rPr>
          <w:rFonts w:hint="default" w:ascii="仿宋_GB2312" w:hAnsi="仿宋_GB2312" w:eastAsia="仿宋_GB2312" w:cs="仿宋_GB2312"/>
          <w:strike w:val="0"/>
          <w:dstrike w:val="0"/>
          <w:color w:val="auto"/>
          <w:sz w:val="32"/>
          <w:szCs w:val="32"/>
          <w:highlight w:val="none"/>
          <w:u w:val="none" w:color="auto"/>
          <w:shd w:val="clear" w:color="auto" w:fill="auto"/>
          <w:lang w:val="en-US" w:eastAsia="zh-CN"/>
        </w:rPr>
        <w:t>组织开展好招商引资活动，</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积极承接产业转移</w:t>
      </w:r>
      <w:r>
        <w:rPr>
          <w:rFonts w:hint="default" w:ascii="仿宋_GB2312" w:hAnsi="仿宋_GB2312" w:eastAsia="仿宋_GB2312" w:cs="仿宋_GB2312"/>
          <w:strike w:val="0"/>
          <w:dstrike w:val="0"/>
          <w:color w:val="auto"/>
          <w:sz w:val="32"/>
          <w:szCs w:val="32"/>
          <w:highlight w:val="none"/>
          <w:u w:val="none" w:color="auto"/>
          <w:shd w:val="clear" w:color="auto" w:fill="auto"/>
          <w:lang w:val="en-US" w:eastAsia="zh-CN"/>
        </w:rPr>
        <w:t>。</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扎实做好援疆援藏等对口帮扶工作，持续强化资金、项目、人才支援，深化互利合作，携手打造更多产业载体、开放平台。</w:t>
      </w:r>
    </w:p>
    <w:p>
      <w:pPr>
        <w:pStyle w:val="2"/>
        <w:keepNext/>
        <w:keepLines/>
        <w:pageBreakBefore w:val="0"/>
        <w:widowControl w:val="0"/>
        <w:kinsoku/>
        <w:wordWrap/>
        <w:overflowPunct/>
        <w:topLinePunct w:val="0"/>
        <w:autoSpaceDE/>
        <w:autoSpaceDN/>
        <w:bidi w:val="0"/>
        <w:adjustRightInd/>
        <w:snapToGrid/>
        <w:spacing w:after="0" w:line="600" w:lineRule="exact"/>
        <w:textAlignment w:val="auto"/>
        <w:rPr>
          <w:rFonts w:hint="default" w:asciiTheme="minorAscii" w:hAnsiTheme="minorAscii"/>
          <w:strike w:val="0"/>
          <w:dstrike w:val="0"/>
          <w:color w:val="auto"/>
          <w:w w:val="98"/>
          <w:sz w:val="36"/>
          <w:highlight w:val="none"/>
          <w:u w:val="none" w:color="auto"/>
          <w:shd w:val="clear" w:color="auto" w:fill="auto"/>
          <w:lang w:val="en-US" w:eastAsia="zh-CN"/>
        </w:rPr>
      </w:pPr>
      <w:bookmarkStart w:id="117" w:name="_Toc1229062752"/>
      <w:r>
        <w:rPr>
          <w:rFonts w:hint="default" w:asciiTheme="minorAscii" w:hAnsiTheme="minorAscii"/>
          <w:strike w:val="0"/>
          <w:dstrike w:val="0"/>
          <w:color w:val="auto"/>
          <w:w w:val="98"/>
          <w:sz w:val="36"/>
          <w:highlight w:val="none"/>
          <w:u w:val="none" w:color="auto"/>
          <w:shd w:val="clear" w:color="auto" w:fill="auto"/>
          <w:lang w:val="en-US" w:eastAsia="zh-CN"/>
        </w:rPr>
        <w:t>第三篇 以人民美好生活为导向，</w:t>
      </w:r>
      <w:r>
        <w:rPr>
          <w:rFonts w:hint="eastAsia"/>
          <w:strike w:val="0"/>
          <w:dstrike w:val="0"/>
          <w:color w:val="auto"/>
          <w:w w:val="98"/>
          <w:sz w:val="36"/>
          <w:highlight w:val="none"/>
          <w:u w:val="none" w:color="auto"/>
          <w:shd w:val="clear" w:color="auto" w:fill="auto"/>
          <w:lang w:val="en-US" w:eastAsia="zh-CN"/>
        </w:rPr>
        <w:t>加快</w:t>
      </w:r>
      <w:r>
        <w:rPr>
          <w:rFonts w:hint="default" w:asciiTheme="minorAscii" w:hAnsiTheme="minorAscii"/>
          <w:strike w:val="0"/>
          <w:dstrike w:val="0"/>
          <w:color w:val="auto"/>
          <w:w w:val="98"/>
          <w:sz w:val="36"/>
          <w:highlight w:val="none"/>
          <w:u w:val="none" w:color="auto"/>
          <w:shd w:val="clear" w:color="auto" w:fill="auto"/>
          <w:lang w:val="en-US" w:eastAsia="zh-CN"/>
        </w:rPr>
        <w:t>建设</w:t>
      </w:r>
      <w:r>
        <w:rPr>
          <w:rFonts w:hint="eastAsia"/>
          <w:strike w:val="0"/>
          <w:dstrike w:val="0"/>
          <w:color w:val="auto"/>
          <w:w w:val="98"/>
          <w:sz w:val="36"/>
          <w:highlight w:val="none"/>
          <w:u w:val="none" w:color="auto"/>
          <w:shd w:val="clear" w:color="auto" w:fill="auto"/>
          <w:lang w:val="en-US" w:eastAsia="zh-CN"/>
        </w:rPr>
        <w:t xml:space="preserve">北黄海         </w:t>
      </w:r>
      <w:r>
        <w:rPr>
          <w:rFonts w:hint="default" w:asciiTheme="minorAscii" w:hAnsiTheme="minorAscii"/>
          <w:strike w:val="0"/>
          <w:dstrike w:val="0"/>
          <w:color w:val="auto"/>
          <w:w w:val="98"/>
          <w:sz w:val="36"/>
          <w:highlight w:val="none"/>
          <w:u w:val="none" w:color="auto"/>
          <w:shd w:val="clear" w:color="auto" w:fill="auto"/>
          <w:lang w:val="en-US" w:eastAsia="zh-CN"/>
        </w:rPr>
        <w:t>生态型</w:t>
      </w:r>
      <w:bookmarkStart w:id="118" w:name="_Toc25448"/>
      <w:bookmarkStart w:id="119" w:name="_Toc13770"/>
      <w:bookmarkStart w:id="120" w:name="_Toc13843"/>
      <w:bookmarkStart w:id="121" w:name="_Toc23941"/>
      <w:bookmarkStart w:id="122" w:name="_Toc7818"/>
      <w:bookmarkStart w:id="123" w:name="_Toc8554"/>
      <w:bookmarkStart w:id="124" w:name="_Toc11050"/>
      <w:bookmarkStart w:id="125" w:name="_Toc7525"/>
      <w:r>
        <w:rPr>
          <w:rFonts w:hint="default" w:asciiTheme="minorAscii" w:hAnsiTheme="minorAscii"/>
          <w:strike w:val="0"/>
          <w:dstrike w:val="0"/>
          <w:color w:val="auto"/>
          <w:w w:val="98"/>
          <w:sz w:val="36"/>
          <w:highlight w:val="none"/>
          <w:u w:val="none" w:color="auto"/>
          <w:shd w:val="clear" w:color="auto" w:fill="auto"/>
          <w:lang w:val="en-US" w:eastAsia="zh-CN"/>
        </w:rPr>
        <w:t>现代化海滨城市</w:t>
      </w:r>
      <w:bookmarkEnd w:id="117"/>
      <w:bookmarkEnd w:id="118"/>
      <w:bookmarkEnd w:id="119"/>
      <w:bookmarkEnd w:id="120"/>
      <w:bookmarkEnd w:id="121"/>
      <w:bookmarkEnd w:id="122"/>
      <w:bookmarkEnd w:id="123"/>
      <w:bookmarkEnd w:id="124"/>
      <w:bookmarkEnd w:id="125"/>
    </w:p>
    <w:p>
      <w:pPr>
        <w:pStyle w:val="3"/>
        <w:pageBreakBefore w:val="0"/>
        <w:widowControl w:val="0"/>
        <w:kinsoku/>
        <w:wordWrap/>
        <w:overflowPunct/>
        <w:topLinePunct w:val="0"/>
        <w:autoSpaceDE/>
        <w:autoSpaceDN/>
        <w:bidi w:val="0"/>
        <w:spacing w:line="600" w:lineRule="exact"/>
        <w:textAlignment w:val="auto"/>
        <w:rPr>
          <w:rFonts w:hint="default" w:ascii="楷体_GB2312" w:hAnsi="楷体_GB2312" w:eastAsia="楷体_GB2312" w:cs="楷体_GB2312"/>
          <w:b/>
          <w:bCs/>
          <w:strike w:val="0"/>
          <w:dstrike w:val="0"/>
          <w:color w:val="auto"/>
          <w:kern w:val="2"/>
          <w:szCs w:val="32"/>
          <w:highlight w:val="none"/>
          <w:u w:val="none" w:color="auto"/>
          <w:shd w:val="clear" w:color="auto" w:fill="auto"/>
          <w:lang w:val="en-US" w:eastAsia="zh-CN" w:bidi="ar-SA"/>
        </w:rPr>
      </w:pPr>
      <w:bookmarkStart w:id="126" w:name="_Toc416799870"/>
      <w:r>
        <w:rPr>
          <w:rFonts w:hint="eastAsia"/>
          <w:strike w:val="0"/>
          <w:dstrike w:val="0"/>
          <w:color w:val="auto"/>
          <w:highlight w:val="none"/>
          <w:u w:val="none" w:color="auto"/>
          <w:shd w:val="clear" w:color="auto" w:fill="auto"/>
          <w:lang w:val="en-US" w:eastAsia="zh-CN"/>
        </w:rPr>
        <w:t>第八章 坚持陆海统筹，加快建设现代化海洋强市</w:t>
      </w:r>
      <w:bookmarkEnd w:id="126"/>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健全责权清晰、科学高效的国土空间规划体系。在严守资源安全底线、优化国土空间格局、促进绿色低碳发展、维护资源资产权益上实现新突破。健全海洋资源开发保护制度，系统谋划海洋资源开发利用，推进陆海协同可持续发展。</w:t>
      </w:r>
    </w:p>
    <w:p>
      <w:pPr>
        <w:pStyle w:val="4"/>
        <w:pageBreakBefore w:val="0"/>
        <w:widowControl w:val="0"/>
        <w:kinsoku/>
        <w:wordWrap/>
        <w:overflowPunct/>
        <w:topLinePunct w:val="0"/>
        <w:autoSpaceDE/>
        <w:autoSpaceDN/>
        <w:bidi w:val="0"/>
        <w:spacing w:line="600" w:lineRule="exact"/>
        <w:textAlignment w:val="auto"/>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pPr>
      <w:bookmarkStart w:id="127" w:name="_Toc1783029098"/>
      <w:r>
        <w:rPr>
          <w:rFonts w:hint="eastAsia"/>
          <w:strike w:val="0"/>
          <w:dstrike w:val="0"/>
          <w:color w:val="auto"/>
          <w:highlight w:val="none"/>
          <w:u w:val="none" w:color="auto"/>
          <w:shd w:val="clear" w:color="auto" w:fill="auto"/>
          <w:lang w:val="en-US" w:eastAsia="zh-CN"/>
        </w:rPr>
        <w:t>第一节 构建人与自然和谐共生的国土空间开发格局</w:t>
      </w:r>
      <w:bookmarkEnd w:id="127"/>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守牢国土空间开发保护底线。</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落实严守“三条控制线”要求，立足资源环境承载力与国土空间开发适宜性，把耕地和永久基本农田、生态保护红线、城镇开发边界三条控制线作为国土空间开发保护的空间底线，科学布局城镇、农业、生态三大空间。优先划定耕地和永久基本农田保护红线。落实最严格的耕地保护制度，现状耕地应划尽划，应保尽保。将可长期稳定利用耕地优先划入永久基本农田实施特殊保护，将高标准农田优先划为永久基本农田。运用全域土地综合整治等政策工具，优化耕地空间布局。充分利用智慧监管平台，健全保护管控体系，实现耕地保护全要素覆盖、全流程数字化、全时段实时化管理，坚决遏制耕地“非农化”。科学划定生态保护红线。将整合优化后的自然保护地，生态保护极重要区与生态极脆弱区，以及人类活动干扰轻微且具有重要潜在生态价值的区域，统一纳入生态保护红线。加快建设以国家公园为主体、自然保护区为基础、各类自然公园为补充的自然保护地体系。高效推进林地保护与修复。“十五五”期间，力争完成更新造林5000亩、退化林分修复6000亩、森林质量提升15000亩，森林蓄积量年均增长2.4万立方米。顺应自然地理格局，根据常住人口变化趋势合理划定城镇开发边界，引导形成集约紧凑的城镇空间格局。</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深入实施主体功能区战略。</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实施城市化地区开发保护并重，引导城关街道、新华街道、兴达街道、昌盛街道、明阳街道、大郑镇、兰店乡、徐岭镇、黑岛镇、青堆镇等10个乡镇和街道高效集聚产业和人口，推进城镇化进程，实现绿色、集约、内涵发展。坚持保护为主、开发为辅，保障光明山镇、大营镇、城山镇、长岭镇、太平岭乡、吴炉镇、鞍子山乡、栗子房镇等8个农产品主产区乡镇耕地面积与质量，增强粮食和重要农产品生产能力。强化桂云花乡、荷花山镇、塔岭镇、步云山乡、仙人洞镇、石城乡、王家镇、蓉花山镇等8个重点生态功能区乡镇生态保护，维护生态系统服务功能，增强生态产品供给能力。</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drawing>
          <wp:inline distT="0" distB="0" distL="114300" distR="114300">
            <wp:extent cx="4281805" cy="5656580"/>
            <wp:effectExtent l="0" t="0" r="4445" b="1270"/>
            <wp:docPr id="4" name="图片 4" descr="主体功能区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主体功能区图"/>
                    <pic:cNvPicPr>
                      <a:picLocks noChangeAspect="1"/>
                    </pic:cNvPicPr>
                  </pic:nvPicPr>
                  <pic:blipFill>
                    <a:blip r:embed="rId5"/>
                    <a:stretch>
                      <a:fillRect/>
                    </a:stretch>
                  </pic:blipFill>
                  <pic:spPr>
                    <a:xfrm>
                      <a:off x="0" y="0"/>
                      <a:ext cx="4281805" cy="5656580"/>
                    </a:xfrm>
                    <a:prstGeom prst="rect">
                      <a:avLst/>
                    </a:prstGeom>
                  </pic:spPr>
                </pic:pic>
              </a:graphicData>
            </a:graphic>
          </wp:inline>
        </w:drawing>
      </w:r>
    </w:p>
    <w:p>
      <w:pPr>
        <w:jc w:val="center"/>
        <w:rPr>
          <w:rFonts w:hint="default" w:ascii="黑体" w:hAnsi="黑体" w:eastAsia="黑体" w:cs="黑体"/>
          <w:strike w:val="0"/>
          <w:dstrike w:val="0"/>
          <w:color w:val="auto"/>
          <w:sz w:val="24"/>
          <w:szCs w:val="24"/>
          <w:highlight w:val="none"/>
          <w:u w:val="none" w:color="auto"/>
          <w:lang w:val="en-US" w:eastAsia="zh-CN"/>
        </w:rPr>
      </w:pPr>
      <w:r>
        <w:rPr>
          <w:rFonts w:hint="eastAsia" w:ascii="黑体" w:hAnsi="黑体" w:eastAsia="黑体" w:cs="黑体"/>
          <w:strike w:val="0"/>
          <w:dstrike w:val="0"/>
          <w:color w:val="auto"/>
          <w:sz w:val="24"/>
          <w:szCs w:val="24"/>
          <w:highlight w:val="none"/>
          <w:u w:val="none" w:color="auto"/>
          <w:lang w:val="en-US" w:eastAsia="zh-CN"/>
        </w:rPr>
        <w:t>图1 生态、农业、城镇三类空间示意图</w:t>
      </w:r>
    </w:p>
    <w:p>
      <w:pPr>
        <w:pStyle w:val="4"/>
        <w:pageBreakBefore w:val="0"/>
        <w:widowControl w:val="0"/>
        <w:kinsoku/>
        <w:wordWrap/>
        <w:overflowPunct/>
        <w:topLinePunct w:val="0"/>
        <w:autoSpaceDE/>
        <w:autoSpaceDN/>
        <w:bidi w:val="0"/>
        <w:spacing w:line="600" w:lineRule="exact"/>
        <w:jc w:val="center"/>
        <w:textAlignment w:val="auto"/>
        <w:rPr>
          <w:rFonts w:hint="default" w:ascii="楷体_GB2312" w:hAnsi="楷体_GB2312" w:eastAsia="楷体_GB2312" w:cs="楷体_GB2312"/>
          <w:b/>
          <w:bCs/>
          <w:strike w:val="0"/>
          <w:dstrike w:val="0"/>
          <w:color w:val="auto"/>
          <w:kern w:val="2"/>
          <w:szCs w:val="32"/>
          <w:highlight w:val="none"/>
          <w:u w:val="none" w:color="auto"/>
          <w:shd w:val="clear" w:color="auto" w:fill="auto"/>
          <w:lang w:val="en-US" w:eastAsia="zh-CN" w:bidi="ar-SA"/>
        </w:rPr>
      </w:pPr>
      <w:bookmarkStart w:id="128" w:name="_Toc358065490"/>
      <w:r>
        <w:rPr>
          <w:rFonts w:hint="eastAsia"/>
          <w:strike w:val="0"/>
          <w:dstrike w:val="0"/>
          <w:color w:val="auto"/>
          <w:highlight w:val="none"/>
          <w:u w:val="none" w:color="auto"/>
          <w:shd w:val="clear" w:color="auto" w:fill="auto"/>
          <w:lang w:val="en-US" w:eastAsia="zh-CN"/>
        </w:rPr>
        <w:t>第二节 优化一轴三带一核四组团经济发展总体布局</w:t>
      </w:r>
      <w:bookmarkEnd w:id="128"/>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一轴。</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以丹大通道为依托，建设沿北黄海高质量发展轴，汇集庄河主要人口与经济发展要素，承载产业发展、城镇化、对外开放等核心功能，打造支撑庄河承接国家、辽宁省、大连市重大战略，培育新质生产力，持续扩大开放的主阵地。</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三带。</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南部蓝色海洋经济带，充分发挥港口优势，积极发展港口货运、临港仓储、冷链物流等业务，推动水产品出口，打造黄海北岸开放发展新高地。以海王九岛、石城岛、青堆湾等地为重点养殖区，加强国家级海洋牧场建设，实行多层混养，努力扩大生蚝、杂色蛤、海参、河豚、对虾等水产品养殖规模，打造国家重要的水产品生产基地。积极发展海洋旅游业，推动现代渔业与观光旅游深度融合。中部金色现代农业带，以光明山镇、太平岭乡、大营镇、徐岭镇等乡镇为重点，以规模化、智能化、特色化为主要方向，积极发展大米、草莓、蓝莓、黄桃、歇马杏、滑子菇等优</w:t>
      </w:r>
      <w:bookmarkStart w:id="172" w:name="_GoBack"/>
      <w:bookmarkEnd w:id="172"/>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质特色农产业，努力打造具有庄河特色的现代化智慧农业。北部绿色生态旅游带，以北部步云山乡、仙人洞镇和西北部荷花山镇等乡镇为重点区域，开展生态修复和休闲旅游区建设。在严格保护生态、推进生态修复的前提下，重点依托冰峪旅游度假区、天门山国家森林公园、仙人洞国家森林公园等景区，打造集休闲、旅游、度假、康养、体育于一体的休闲避暑胜地。积极推进北部山区生态林、经济林等特色林业发展，大力发展人参、食用菌、牛蒡、大骨鸡等特色林下经济。</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一核。</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中心城区综合发展核心，打造庄河城镇化、产业发展、对外开放以及公共服务的核心，推动徐岭镇、兰店乡临近地区与中心城区一体化发展，提高城市发展能级和影响力。</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四组团。</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明阳街道－花园口片区产业组团建设重要的产业与创新基地，重点发展新材料、新能源、智能汽车配套等新兴产业，积极承接大连创新成果与产业转移，作为庄河副中心带动西部高质量发展。青堆－鞍子山农渔产品加工组团重点发展农副产品加工、冷链物流、现代商贸物流，完善渔港、电商物流基地建设，形成重要的农渔产品加工与物流集散基地，带动东部高质量发展。步云山－仙人洞山地旅游组团加强生态建设，统筹开发北部山区旅游资源，高品质建设旅游设施和旅游线路，带动北部山区绿色高质量发展。石城－王家两岛海洋旅游、渔业组团统筹海洋资源保护与开发利用，打造高端海产品养殖基地，一体建设高品质海岛休闲旅游度假目的地，带动南部海域蓝色经济高质量发展。</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00" w:type="dxa"/>
          </w:tcPr>
          <w:p>
            <w:pPr>
              <w:jc w:val="center"/>
              <w:rPr>
                <w:rFonts w:hint="default" w:ascii="黑体" w:hAnsi="黑体" w:eastAsia="黑体" w:cs="黑体"/>
                <w:strike w:val="0"/>
                <w:dstrike w:val="0"/>
                <w:color w:val="auto"/>
                <w:sz w:val="24"/>
                <w:szCs w:val="24"/>
                <w:highlight w:val="none"/>
                <w:u w:val="none" w:color="auto"/>
                <w:lang w:val="en-US" w:eastAsia="zh-CN"/>
              </w:rPr>
            </w:pPr>
            <w:r>
              <w:rPr>
                <w:rFonts w:hint="eastAsia" w:ascii="黑体" w:hAnsi="黑体" w:eastAsia="黑体" w:cs="黑体"/>
                <w:strike w:val="0"/>
                <w:dstrike w:val="0"/>
                <w:color w:val="auto"/>
                <w:sz w:val="24"/>
                <w:szCs w:val="24"/>
                <w:highlight w:val="none"/>
                <w:u w:val="none" w:color="auto"/>
                <w:lang w:val="en-US" w:eastAsia="zh-CN"/>
              </w:rPr>
              <w:t>专栏4 乡镇街道产业发展方向</w:t>
            </w:r>
          </w:p>
          <w:p>
            <w:pPr>
              <w:keepNext w:val="0"/>
              <w:keepLines w:val="0"/>
              <w:pageBreakBefore w:val="0"/>
              <w:widowControl w:val="0"/>
              <w:kinsoku/>
              <w:wordWrap/>
              <w:overflowPunct/>
              <w:topLinePunct w:val="0"/>
              <w:bidi w:val="0"/>
              <w:adjustRightInd/>
              <w:snapToGrid/>
              <w:spacing w:line="400" w:lineRule="exact"/>
              <w:textAlignment w:val="auto"/>
              <w:rPr>
                <w:rFonts w:hint="eastAsia"/>
                <w:strike w:val="0"/>
                <w:dstrike w:val="0"/>
                <w:color w:val="auto"/>
                <w:highlight w:val="none"/>
                <w:u w:val="none" w:color="auto"/>
                <w:lang w:val="en-US" w:eastAsia="zh-CN"/>
              </w:rPr>
            </w:pP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b/>
                <w:bCs/>
                <w:strike w:val="0"/>
                <w:dstrike w:val="0"/>
                <w:color w:val="auto"/>
                <w:kern w:val="2"/>
                <w:sz w:val="21"/>
                <w:szCs w:val="24"/>
                <w:highlight w:val="none"/>
                <w:u w:val="none" w:color="auto"/>
                <w:lang w:val="en-US" w:eastAsia="zh-CN" w:bidi="ar-SA"/>
              </w:rPr>
            </w:pPr>
            <w:r>
              <w:rPr>
                <w:rFonts w:hint="eastAsia" w:ascii="宋体" w:hAnsi="宋体" w:eastAsia="宋体" w:cs="宋体"/>
                <w:b w:val="0"/>
                <w:bCs w:val="0"/>
                <w:strike w:val="0"/>
                <w:dstrike w:val="0"/>
                <w:color w:val="auto"/>
                <w:kern w:val="2"/>
                <w:sz w:val="21"/>
                <w:szCs w:val="24"/>
                <w:highlight w:val="none"/>
                <w:u w:val="none" w:color="auto"/>
                <w:lang w:val="en-US" w:eastAsia="zh-CN" w:bidi="ar-SA"/>
              </w:rPr>
              <w:t>◆</w:t>
            </w:r>
            <w:r>
              <w:rPr>
                <w:rFonts w:hint="eastAsia" w:ascii="宋体" w:hAnsi="宋体" w:eastAsia="宋体" w:cs="宋体"/>
                <w:b/>
                <w:bCs/>
                <w:strike w:val="0"/>
                <w:dstrike w:val="0"/>
                <w:color w:val="auto"/>
                <w:kern w:val="2"/>
                <w:sz w:val="21"/>
                <w:szCs w:val="24"/>
                <w:highlight w:val="none"/>
                <w:u w:val="none" w:color="auto"/>
                <w:lang w:val="en-US" w:eastAsia="zh-CN" w:bidi="ar-SA"/>
              </w:rPr>
              <w:t>城关街道：</w:t>
            </w:r>
            <w:r>
              <w:rPr>
                <w:rFonts w:hint="eastAsia" w:ascii="宋体" w:hAnsi="宋体" w:cs="宋体"/>
                <w:b w:val="0"/>
                <w:bCs w:val="0"/>
                <w:strike w:val="0"/>
                <w:dstrike w:val="0"/>
                <w:color w:val="auto"/>
                <w:kern w:val="2"/>
                <w:sz w:val="21"/>
                <w:szCs w:val="24"/>
                <w:highlight w:val="none"/>
                <w:u w:val="none" w:color="auto"/>
                <w:lang w:val="en-US" w:eastAsia="zh-CN" w:bidi="ar-SA"/>
              </w:rPr>
              <w:t>推动房地产业与商贸金融、养老、教育等现代服务业协同发展，推进工业园区转型。重点打造中央商务区，繁荣夜间经济，布局酒店民宿；建设医养结合社区、智慧社区，发展教育衍生业态；转型文创产业园，搭建共享办公空间孵化小微企业。</w:t>
            </w:r>
          </w:p>
          <w:p>
            <w:pPr>
              <w:pStyle w:val="10"/>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b w:val="0"/>
                <w:bCs w:val="0"/>
                <w:strike w:val="0"/>
                <w:dstrike w:val="0"/>
                <w:color w:val="auto"/>
                <w:kern w:val="2"/>
                <w:sz w:val="21"/>
                <w:szCs w:val="24"/>
                <w:highlight w:val="none"/>
                <w:u w:val="none" w:color="auto"/>
                <w:lang w:val="en-US" w:eastAsia="zh-CN" w:bidi="ar-SA"/>
              </w:rPr>
            </w:pPr>
            <w:r>
              <w:rPr>
                <w:rFonts w:hint="eastAsia" w:ascii="宋体" w:hAnsi="宋体" w:cs="宋体"/>
                <w:b w:val="0"/>
                <w:bCs w:val="0"/>
                <w:strike w:val="0"/>
                <w:dstrike w:val="0"/>
                <w:color w:val="auto"/>
                <w:kern w:val="2"/>
                <w:sz w:val="21"/>
                <w:szCs w:val="24"/>
                <w:highlight w:val="none"/>
                <w:u w:val="none" w:color="auto"/>
                <w:lang w:val="en-US" w:eastAsia="zh-CN" w:bidi="ar-SA"/>
              </w:rPr>
              <w:t>◆</w:t>
            </w:r>
            <w:r>
              <w:rPr>
                <w:rFonts w:hint="eastAsia" w:ascii="宋体" w:hAnsi="宋体" w:cs="宋体"/>
                <w:b/>
                <w:bCs/>
                <w:strike w:val="0"/>
                <w:dstrike w:val="0"/>
                <w:color w:val="auto"/>
                <w:kern w:val="2"/>
                <w:sz w:val="21"/>
                <w:szCs w:val="24"/>
                <w:highlight w:val="none"/>
                <w:u w:val="none" w:color="auto"/>
                <w:lang w:val="en-US" w:eastAsia="zh-CN" w:bidi="ar-SA"/>
              </w:rPr>
              <w:t>新华街道：</w:t>
            </w:r>
            <w:r>
              <w:rPr>
                <w:rFonts w:hint="eastAsia" w:ascii="宋体" w:hAnsi="宋体" w:cs="宋体"/>
                <w:b w:val="0"/>
                <w:bCs w:val="0"/>
                <w:strike w:val="0"/>
                <w:dstrike w:val="0"/>
                <w:color w:val="auto"/>
                <w:kern w:val="2"/>
                <w:sz w:val="21"/>
                <w:szCs w:val="24"/>
                <w:highlight w:val="none"/>
                <w:u w:val="none" w:color="auto"/>
                <w:lang w:val="en-US" w:eastAsia="zh-CN" w:bidi="ar-SA"/>
              </w:rPr>
              <w:t>发展装备制造、水产品加工、服装制造及物流运输产业。重点推动装备制造业创新升级，优化生产模式;延伸水产加工产业链条，提升产品附加值;提升服装制造业生产效能，打造特色轻工制造产业优势;推动物流运输业提质扩容，鼓励行业抱团发展、资源整合。</w:t>
            </w:r>
          </w:p>
          <w:p>
            <w:pPr>
              <w:pStyle w:val="10"/>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b w:val="0"/>
                <w:bCs w:val="0"/>
                <w:strike w:val="0"/>
                <w:dstrike w:val="0"/>
                <w:color w:val="auto"/>
                <w:kern w:val="2"/>
                <w:sz w:val="21"/>
                <w:szCs w:val="24"/>
                <w:highlight w:val="none"/>
                <w:u w:val="none" w:color="auto"/>
                <w:lang w:val="en-US" w:eastAsia="zh-CN" w:bidi="ar-SA"/>
              </w:rPr>
            </w:pPr>
            <w:r>
              <w:rPr>
                <w:rFonts w:hint="eastAsia" w:ascii="宋体" w:hAnsi="宋体" w:cs="宋体"/>
                <w:b w:val="0"/>
                <w:bCs w:val="0"/>
                <w:strike w:val="0"/>
                <w:dstrike w:val="0"/>
                <w:color w:val="auto"/>
                <w:kern w:val="2"/>
                <w:sz w:val="21"/>
                <w:szCs w:val="24"/>
                <w:highlight w:val="none"/>
                <w:u w:val="none" w:color="auto"/>
                <w:lang w:val="en-US" w:eastAsia="zh-CN" w:bidi="ar-SA"/>
              </w:rPr>
              <w:t>◆</w:t>
            </w:r>
            <w:r>
              <w:rPr>
                <w:rFonts w:hint="eastAsia" w:ascii="宋体" w:hAnsi="宋体" w:eastAsia="宋体" w:cs="宋体"/>
                <w:b/>
                <w:bCs/>
                <w:strike w:val="0"/>
                <w:dstrike w:val="0"/>
                <w:color w:val="auto"/>
                <w:kern w:val="2"/>
                <w:sz w:val="21"/>
                <w:szCs w:val="24"/>
                <w:highlight w:val="none"/>
                <w:u w:val="none" w:color="auto"/>
                <w:lang w:val="en-US" w:eastAsia="zh-CN" w:bidi="ar-SA"/>
              </w:rPr>
              <w:t>兴达街道：</w:t>
            </w:r>
            <w:r>
              <w:rPr>
                <w:rFonts w:hint="eastAsia" w:ascii="宋体" w:hAnsi="宋体" w:cs="宋体"/>
                <w:b w:val="0"/>
                <w:bCs w:val="0"/>
                <w:strike w:val="0"/>
                <w:dstrike w:val="0"/>
                <w:color w:val="auto"/>
                <w:kern w:val="2"/>
                <w:sz w:val="21"/>
                <w:szCs w:val="24"/>
                <w:highlight w:val="none"/>
                <w:u w:val="none" w:color="auto"/>
                <w:lang w:val="en-US" w:eastAsia="zh-CN" w:bidi="ar-SA"/>
              </w:rPr>
              <w:t>聚焦机械加工业、商业、现代农业协同发展。做优机械产业集群，推动技改升级与闲置厂房盘活；焕新步行街、美食街等消费场景，以银企对接助企成长；推广涉农社区合作社规模化种植，深化“农产品+电商/文旅”融合，构建多元产业格局。</w:t>
            </w:r>
          </w:p>
          <w:p>
            <w:pPr>
              <w:pStyle w:val="10"/>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b w:val="0"/>
                <w:bCs w:val="0"/>
                <w:strike w:val="0"/>
                <w:dstrike w:val="0"/>
                <w:color w:val="auto"/>
                <w:kern w:val="2"/>
                <w:sz w:val="21"/>
                <w:szCs w:val="24"/>
                <w:highlight w:val="none"/>
                <w:u w:val="none" w:color="auto"/>
                <w:lang w:val="en-US" w:eastAsia="zh-CN" w:bidi="ar-SA"/>
              </w:rPr>
            </w:pPr>
            <w:r>
              <w:rPr>
                <w:rFonts w:hint="eastAsia" w:ascii="宋体" w:hAnsi="宋体" w:cs="宋体"/>
                <w:b w:val="0"/>
                <w:bCs w:val="0"/>
                <w:strike w:val="0"/>
                <w:dstrike w:val="0"/>
                <w:color w:val="auto"/>
                <w:kern w:val="2"/>
                <w:sz w:val="21"/>
                <w:szCs w:val="24"/>
                <w:highlight w:val="none"/>
                <w:u w:val="none" w:color="auto"/>
                <w:lang w:val="en-US" w:eastAsia="zh-CN" w:bidi="ar-SA"/>
              </w:rPr>
              <w:t>◆</w:t>
            </w:r>
            <w:r>
              <w:rPr>
                <w:rFonts w:hint="eastAsia" w:ascii="宋体" w:hAnsi="宋体" w:eastAsia="宋体" w:cs="宋体"/>
                <w:b/>
                <w:bCs/>
                <w:strike w:val="0"/>
                <w:dstrike w:val="0"/>
                <w:color w:val="auto"/>
                <w:kern w:val="2"/>
                <w:sz w:val="21"/>
                <w:szCs w:val="24"/>
                <w:highlight w:val="none"/>
                <w:u w:val="none" w:color="auto"/>
                <w:lang w:val="en-US" w:eastAsia="zh-CN" w:bidi="ar-SA"/>
              </w:rPr>
              <w:t>昌盛街道：</w:t>
            </w:r>
            <w:r>
              <w:rPr>
                <w:rFonts w:hint="eastAsia" w:ascii="宋体" w:hAnsi="宋体" w:cs="宋体"/>
                <w:b w:val="0"/>
                <w:bCs w:val="0"/>
                <w:strike w:val="0"/>
                <w:dstrike w:val="0"/>
                <w:color w:val="auto"/>
                <w:kern w:val="2"/>
                <w:sz w:val="21"/>
                <w:szCs w:val="24"/>
                <w:highlight w:val="none"/>
                <w:u w:val="none" w:color="auto"/>
                <w:lang w:val="en-US" w:eastAsia="zh-CN" w:bidi="ar-SA"/>
              </w:rPr>
              <w:t>发展水产加工、高端装备、服务及海洋产业。推动水产加工企业技改升级，提升产品附加值；打造高端装备产业集群；依托大学城场馆、观驾湖黑脸琵鹭栖息地，融合多元业态培育消费增长点；振兴水产种业，加强良种繁育保护。</w:t>
            </w:r>
          </w:p>
          <w:p>
            <w:pPr>
              <w:pStyle w:val="10"/>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b w:val="0"/>
                <w:bCs w:val="0"/>
                <w:strike w:val="0"/>
                <w:dstrike w:val="0"/>
                <w:color w:val="auto"/>
                <w:kern w:val="2"/>
                <w:sz w:val="21"/>
                <w:szCs w:val="24"/>
                <w:highlight w:val="none"/>
                <w:u w:val="none" w:color="auto"/>
                <w:lang w:val="en-US" w:eastAsia="zh-CN" w:bidi="ar-SA"/>
              </w:rPr>
            </w:pPr>
            <w:r>
              <w:rPr>
                <w:rFonts w:hint="eastAsia" w:ascii="宋体" w:hAnsi="宋体" w:cs="宋体"/>
                <w:b w:val="0"/>
                <w:bCs w:val="0"/>
                <w:strike w:val="0"/>
                <w:dstrike w:val="0"/>
                <w:color w:val="auto"/>
                <w:kern w:val="2"/>
                <w:sz w:val="21"/>
                <w:szCs w:val="24"/>
                <w:highlight w:val="none"/>
                <w:u w:val="none" w:color="auto"/>
                <w:lang w:val="en-US" w:eastAsia="zh-CN" w:bidi="ar-SA"/>
              </w:rPr>
              <w:t>◆</w:t>
            </w:r>
            <w:r>
              <w:rPr>
                <w:rFonts w:hint="eastAsia" w:ascii="宋体" w:hAnsi="宋体" w:eastAsia="宋体" w:cs="宋体"/>
                <w:b/>
                <w:bCs/>
                <w:strike w:val="0"/>
                <w:dstrike w:val="0"/>
                <w:color w:val="auto"/>
                <w:kern w:val="2"/>
                <w:sz w:val="21"/>
                <w:szCs w:val="24"/>
                <w:highlight w:val="none"/>
                <w:u w:val="none" w:color="auto"/>
                <w:lang w:val="en-US" w:eastAsia="zh-CN" w:bidi="ar-SA"/>
              </w:rPr>
              <w:t>明阳街道：</w:t>
            </w:r>
            <w:r>
              <w:rPr>
                <w:rFonts w:hint="eastAsia" w:ascii="宋体" w:hAnsi="宋体" w:cs="宋体"/>
                <w:b w:val="0"/>
                <w:bCs w:val="0"/>
                <w:strike w:val="0"/>
                <w:dstrike w:val="0"/>
                <w:color w:val="auto"/>
                <w:kern w:val="2"/>
                <w:sz w:val="21"/>
                <w:szCs w:val="24"/>
                <w:highlight w:val="none"/>
                <w:u w:val="none" w:color="auto"/>
                <w:lang w:val="en-US" w:eastAsia="zh-CN" w:bidi="ar-SA"/>
              </w:rPr>
              <w:t>发展农业、智慧物流及海洋产业，做好项目跟踪服务，延伸产业链条，培育绿色种植；完善仓储运输配套，打造区域物流集散节点；盘活海域资源，探索渔业养殖升级业态，推动海洋生态保护与产业发展融合。</w:t>
            </w:r>
          </w:p>
          <w:p>
            <w:pPr>
              <w:pStyle w:val="10"/>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b w:val="0"/>
                <w:bCs w:val="0"/>
                <w:strike w:val="0"/>
                <w:dstrike w:val="0"/>
                <w:color w:val="auto"/>
                <w:kern w:val="2"/>
                <w:sz w:val="21"/>
                <w:szCs w:val="24"/>
                <w:highlight w:val="none"/>
                <w:u w:val="none" w:color="auto"/>
                <w:lang w:val="en-US" w:eastAsia="zh-CN" w:bidi="ar-SA"/>
              </w:rPr>
            </w:pPr>
            <w:r>
              <w:rPr>
                <w:rFonts w:hint="eastAsia" w:ascii="宋体" w:hAnsi="宋体" w:cs="宋体"/>
                <w:b w:val="0"/>
                <w:bCs w:val="0"/>
                <w:strike w:val="0"/>
                <w:dstrike w:val="0"/>
                <w:color w:val="auto"/>
                <w:kern w:val="2"/>
                <w:sz w:val="21"/>
                <w:szCs w:val="24"/>
                <w:highlight w:val="none"/>
                <w:u w:val="none" w:color="auto"/>
                <w:lang w:val="en-US" w:eastAsia="zh-CN" w:bidi="ar-SA"/>
              </w:rPr>
              <w:t>◆</w:t>
            </w:r>
            <w:r>
              <w:rPr>
                <w:rFonts w:hint="eastAsia" w:ascii="宋体" w:hAnsi="宋体" w:eastAsia="宋体" w:cs="宋体"/>
                <w:b/>
                <w:bCs/>
                <w:strike w:val="0"/>
                <w:dstrike w:val="0"/>
                <w:color w:val="auto"/>
                <w:kern w:val="2"/>
                <w:sz w:val="21"/>
                <w:szCs w:val="24"/>
                <w:highlight w:val="none"/>
                <w:u w:val="none" w:color="auto"/>
                <w:lang w:val="en-US" w:eastAsia="zh-CN" w:bidi="ar-SA"/>
              </w:rPr>
              <w:t>兰店乡：</w:t>
            </w:r>
            <w:r>
              <w:rPr>
                <w:rFonts w:hint="eastAsia" w:ascii="宋体" w:hAnsi="宋体" w:cs="宋体"/>
                <w:b w:val="0"/>
                <w:bCs w:val="0"/>
                <w:strike w:val="0"/>
                <w:dstrike w:val="0"/>
                <w:color w:val="auto"/>
                <w:kern w:val="2"/>
                <w:sz w:val="21"/>
                <w:szCs w:val="24"/>
                <w:highlight w:val="none"/>
                <w:u w:val="none" w:color="auto"/>
                <w:lang w:val="en-US" w:eastAsia="zh-CN" w:bidi="ar-SA"/>
              </w:rPr>
              <w:t>以现代农业、海洋产业、文旅产业为主导产业，深耕本地特色，重点发展绿色果蔬种植业，打造兰店特色农产品品牌。围绕海上生态养殖、水产品精深加工，优化水产产业结构；盘活滨海与乡村资源，深度开发蛤蜊岛景区，大力发展旅游业，构建特色鲜明、三产融合的乡村产业发展新格局。</w:t>
            </w:r>
          </w:p>
          <w:p>
            <w:pPr>
              <w:pStyle w:val="10"/>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strike w:val="0"/>
                <w:dstrike w:val="0"/>
                <w:color w:val="auto"/>
                <w:kern w:val="2"/>
                <w:sz w:val="21"/>
                <w:szCs w:val="24"/>
                <w:highlight w:val="none"/>
                <w:u w:val="none" w:color="auto"/>
                <w:lang w:val="en-US" w:eastAsia="zh-CN" w:bidi="ar-SA"/>
              </w:rPr>
            </w:pPr>
            <w:r>
              <w:rPr>
                <w:rFonts w:hint="eastAsia" w:ascii="宋体" w:hAnsi="宋体" w:cs="宋体"/>
                <w:b w:val="0"/>
                <w:bCs w:val="0"/>
                <w:strike w:val="0"/>
                <w:dstrike w:val="0"/>
                <w:color w:val="auto"/>
                <w:kern w:val="2"/>
                <w:sz w:val="21"/>
                <w:szCs w:val="24"/>
                <w:highlight w:val="none"/>
                <w:u w:val="none" w:color="auto"/>
                <w:lang w:val="en-US" w:eastAsia="zh-CN" w:bidi="ar-SA"/>
              </w:rPr>
              <w:t>◆</w:t>
            </w:r>
            <w:r>
              <w:rPr>
                <w:rFonts w:hint="eastAsia" w:ascii="宋体" w:hAnsi="宋体" w:eastAsia="宋体" w:cs="宋体"/>
                <w:b/>
                <w:bCs/>
                <w:strike w:val="0"/>
                <w:dstrike w:val="0"/>
                <w:color w:val="auto"/>
                <w:kern w:val="2"/>
                <w:sz w:val="21"/>
                <w:szCs w:val="24"/>
                <w:highlight w:val="none"/>
                <w:u w:val="none" w:color="auto"/>
                <w:lang w:val="en-US" w:eastAsia="zh-CN" w:bidi="ar-SA"/>
              </w:rPr>
              <w:t>吴炉镇：</w:t>
            </w:r>
            <w:r>
              <w:rPr>
                <w:rFonts w:hint="eastAsia" w:ascii="宋体" w:hAnsi="宋体" w:eastAsia="宋体" w:cs="宋体"/>
                <w:b w:val="0"/>
                <w:bCs w:val="0"/>
                <w:strike w:val="0"/>
                <w:dstrike w:val="0"/>
                <w:color w:val="auto"/>
                <w:kern w:val="2"/>
                <w:sz w:val="21"/>
                <w:szCs w:val="24"/>
                <w:highlight w:val="none"/>
                <w:u w:val="none" w:color="auto"/>
                <w:lang w:val="en-US" w:eastAsia="zh-CN" w:bidi="ar-SA"/>
              </w:rPr>
              <w:t>坚持“半城郊型”发展思路，重点发展农旅融合、水产品深加工、智能机械制造等特色产业，推进与主城区融合发展，构建北部优质果蔬产业区、南部农旅融合产业区、201国道冷链物流产业区和英那河沿岸生态观光带。</w:t>
            </w:r>
          </w:p>
          <w:p>
            <w:pPr>
              <w:pStyle w:val="10"/>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default" w:ascii="宋体" w:hAnsi="宋体" w:cs="宋体"/>
                <w:b w:val="0"/>
                <w:bCs w:val="0"/>
                <w:strike w:val="0"/>
                <w:dstrike w:val="0"/>
                <w:color w:val="auto"/>
                <w:kern w:val="2"/>
                <w:sz w:val="21"/>
                <w:szCs w:val="24"/>
                <w:highlight w:val="none"/>
                <w:u w:val="none" w:color="auto"/>
                <w:lang w:val="en-US" w:eastAsia="zh-CN" w:bidi="ar-SA"/>
              </w:rPr>
            </w:pPr>
            <w:r>
              <w:rPr>
                <w:rFonts w:hint="eastAsia" w:ascii="宋体" w:hAnsi="宋体" w:eastAsia="宋体" w:cs="宋体"/>
                <w:b w:val="0"/>
                <w:bCs w:val="0"/>
                <w:strike w:val="0"/>
                <w:dstrike w:val="0"/>
                <w:color w:val="auto"/>
                <w:kern w:val="2"/>
                <w:sz w:val="21"/>
                <w:szCs w:val="24"/>
                <w:highlight w:val="none"/>
                <w:u w:val="none" w:color="auto"/>
                <w:lang w:val="en-US" w:eastAsia="zh-CN" w:bidi="ar-SA"/>
              </w:rPr>
              <w:t xml:space="preserve"> </w:t>
            </w:r>
            <w:r>
              <w:rPr>
                <w:rFonts w:hint="eastAsia" w:ascii="宋体" w:hAnsi="宋体" w:cs="宋体"/>
                <w:b w:val="0"/>
                <w:bCs w:val="0"/>
                <w:strike w:val="0"/>
                <w:dstrike w:val="0"/>
                <w:color w:val="auto"/>
                <w:kern w:val="2"/>
                <w:sz w:val="21"/>
                <w:szCs w:val="24"/>
                <w:highlight w:val="none"/>
                <w:u w:val="none" w:color="auto"/>
                <w:lang w:val="en-US" w:eastAsia="zh-CN" w:bidi="ar-SA"/>
              </w:rPr>
              <w:t>◆</w:t>
            </w:r>
            <w:r>
              <w:rPr>
                <w:rFonts w:hint="eastAsia" w:ascii="宋体" w:hAnsi="宋体" w:eastAsia="宋体" w:cs="宋体"/>
                <w:b/>
                <w:bCs/>
                <w:strike w:val="0"/>
                <w:dstrike w:val="0"/>
                <w:color w:val="auto"/>
                <w:kern w:val="2"/>
                <w:sz w:val="21"/>
                <w:szCs w:val="24"/>
                <w:highlight w:val="none"/>
                <w:u w:val="none" w:color="auto"/>
                <w:lang w:val="en-US" w:eastAsia="zh-CN" w:bidi="ar-SA"/>
              </w:rPr>
              <w:t>黑岛镇：</w:t>
            </w:r>
            <w:r>
              <w:rPr>
                <w:rFonts w:hint="eastAsia" w:ascii="宋体" w:hAnsi="宋体" w:cs="宋体"/>
                <w:b w:val="0"/>
                <w:bCs w:val="0"/>
                <w:strike w:val="0"/>
                <w:dstrike w:val="0"/>
                <w:color w:val="auto"/>
                <w:kern w:val="2"/>
                <w:sz w:val="21"/>
                <w:szCs w:val="24"/>
                <w:highlight w:val="none"/>
                <w:u w:val="none" w:color="auto"/>
                <w:lang w:val="en-US" w:eastAsia="zh-CN" w:bidi="ar-SA"/>
              </w:rPr>
              <w:t>发展清洁能源产业、现代农业、文旅产业。重点壮大清洁能源上下游产业链；引导水产食品企业创新升级；打造黑岛鸭蛋等特色品牌；优化传统捕捞形式、扩大水产养殖规模；围绕能源科普、爱国主义教育、海洋文明等方面，打造特色旅游、研学产业。</w:t>
            </w:r>
          </w:p>
          <w:p>
            <w:pPr>
              <w:pStyle w:val="10"/>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b w:val="0"/>
                <w:bCs w:val="0"/>
                <w:strike w:val="0"/>
                <w:dstrike w:val="0"/>
                <w:color w:val="auto"/>
                <w:kern w:val="2"/>
                <w:sz w:val="21"/>
                <w:szCs w:val="24"/>
                <w:highlight w:val="none"/>
                <w:u w:val="none" w:color="auto"/>
                <w:lang w:val="en-US" w:eastAsia="zh-CN" w:bidi="ar-SA"/>
              </w:rPr>
            </w:pPr>
            <w:r>
              <w:rPr>
                <w:rFonts w:hint="eastAsia" w:ascii="宋体" w:hAnsi="宋体" w:cs="宋体"/>
                <w:b w:val="0"/>
                <w:bCs w:val="0"/>
                <w:strike w:val="0"/>
                <w:dstrike w:val="0"/>
                <w:color w:val="auto"/>
                <w:kern w:val="2"/>
                <w:sz w:val="21"/>
                <w:szCs w:val="24"/>
                <w:highlight w:val="none"/>
                <w:u w:val="none" w:color="auto"/>
                <w:lang w:val="en-US" w:eastAsia="zh-CN" w:bidi="ar-SA"/>
              </w:rPr>
              <w:t>◆</w:t>
            </w:r>
            <w:r>
              <w:rPr>
                <w:rFonts w:hint="eastAsia" w:ascii="宋体" w:hAnsi="宋体" w:eastAsia="宋体" w:cs="宋体"/>
                <w:b/>
                <w:bCs/>
                <w:strike w:val="0"/>
                <w:dstrike w:val="0"/>
                <w:color w:val="auto"/>
                <w:kern w:val="2"/>
                <w:sz w:val="21"/>
                <w:szCs w:val="24"/>
                <w:highlight w:val="none"/>
                <w:u w:val="none" w:color="auto"/>
                <w:lang w:val="en-US" w:eastAsia="zh-CN" w:bidi="ar-SA"/>
              </w:rPr>
              <w:t>青堆镇：</w:t>
            </w:r>
            <w:r>
              <w:rPr>
                <w:rFonts w:hint="eastAsia" w:ascii="宋体" w:hAnsi="宋体" w:cs="宋体"/>
                <w:b w:val="0"/>
                <w:bCs w:val="0"/>
                <w:strike w:val="0"/>
                <w:dstrike w:val="0"/>
                <w:color w:val="auto"/>
                <w:kern w:val="2"/>
                <w:sz w:val="21"/>
                <w:szCs w:val="24"/>
                <w:highlight w:val="none"/>
                <w:u w:val="none" w:color="auto"/>
                <w:lang w:val="en-US" w:eastAsia="zh-CN" w:bidi="ar-SA"/>
              </w:rPr>
              <w:t>发展工业、海洋产业、现代农业、文旅产业。重点打造现代化工业区，推动传统加工向高附加值转型升级；发展近海生态养殖与海洋牧场配套，延伸水产品精深加工与冷链物流产业链；以争创“国家级历史文化名镇”为抓手，统筹古镇保护修缮与活化利用，串联老街古建、特色节庆和滨海田园资源，打造“古镇+”精品文旅线路。</w:t>
            </w:r>
          </w:p>
          <w:p>
            <w:pPr>
              <w:pStyle w:val="10"/>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b w:val="0"/>
                <w:bCs w:val="0"/>
                <w:strike w:val="0"/>
                <w:dstrike w:val="0"/>
                <w:color w:val="auto"/>
                <w:kern w:val="2"/>
                <w:sz w:val="32"/>
                <w:szCs w:val="40"/>
                <w:highlight w:val="none"/>
                <w:u w:val="none" w:color="auto"/>
                <w:lang w:val="en-US" w:eastAsia="zh-CN" w:bidi="ar-SA"/>
              </w:rPr>
            </w:pPr>
            <w:r>
              <w:rPr>
                <w:rFonts w:hint="eastAsia" w:ascii="宋体" w:hAnsi="宋体" w:cs="宋体"/>
                <w:b w:val="0"/>
                <w:bCs w:val="0"/>
                <w:strike w:val="0"/>
                <w:dstrike w:val="0"/>
                <w:color w:val="auto"/>
                <w:kern w:val="2"/>
                <w:sz w:val="21"/>
                <w:szCs w:val="24"/>
                <w:highlight w:val="none"/>
                <w:u w:val="none" w:color="auto"/>
                <w:lang w:val="en-US" w:eastAsia="zh-CN" w:bidi="ar-SA"/>
              </w:rPr>
              <w:t>◆</w:t>
            </w:r>
            <w:r>
              <w:rPr>
                <w:rFonts w:hint="eastAsia" w:ascii="宋体" w:hAnsi="宋体" w:eastAsia="宋体" w:cs="宋体"/>
                <w:b/>
                <w:bCs/>
                <w:strike w:val="0"/>
                <w:dstrike w:val="0"/>
                <w:color w:val="auto"/>
                <w:kern w:val="2"/>
                <w:sz w:val="21"/>
                <w:szCs w:val="24"/>
                <w:highlight w:val="none"/>
                <w:u w:val="none" w:color="auto"/>
                <w:lang w:val="en-US" w:eastAsia="zh-CN" w:bidi="ar-SA"/>
              </w:rPr>
              <w:t>鞍子山乡：</w:t>
            </w:r>
            <w:r>
              <w:rPr>
                <w:rFonts w:hint="eastAsia" w:ascii="宋体" w:hAnsi="宋体" w:eastAsia="宋体" w:cs="宋体"/>
                <w:b w:val="0"/>
                <w:bCs w:val="0"/>
                <w:strike w:val="0"/>
                <w:dstrike w:val="0"/>
                <w:color w:val="auto"/>
                <w:kern w:val="2"/>
                <w:sz w:val="21"/>
                <w:szCs w:val="24"/>
                <w:highlight w:val="none"/>
                <w:u w:val="none" w:color="auto"/>
                <w:lang w:val="en-US" w:eastAsia="zh-CN" w:bidi="ar-SA"/>
              </w:rPr>
              <w:t>发展现代农业。重点发展柞蚕、食用菌等特色农林业互补型新业态；建设“三色西红柿特色产业”，通过“互联网＋农业”，打造特色“鞍子山红”品牌。</w:t>
            </w:r>
          </w:p>
          <w:p>
            <w:pPr>
              <w:pStyle w:val="10"/>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strike w:val="0"/>
                <w:dstrike w:val="0"/>
                <w:color w:val="auto"/>
                <w:kern w:val="2"/>
                <w:sz w:val="21"/>
                <w:szCs w:val="24"/>
                <w:highlight w:val="none"/>
                <w:u w:val="none" w:color="auto"/>
                <w:lang w:val="en-US" w:eastAsia="zh-CN" w:bidi="ar-SA"/>
              </w:rPr>
            </w:pPr>
            <w:r>
              <w:rPr>
                <w:rFonts w:hint="eastAsia" w:ascii="宋体" w:hAnsi="宋体" w:cs="宋体"/>
                <w:b w:val="0"/>
                <w:bCs w:val="0"/>
                <w:strike w:val="0"/>
                <w:dstrike w:val="0"/>
                <w:color w:val="auto"/>
                <w:kern w:val="2"/>
                <w:sz w:val="21"/>
                <w:szCs w:val="24"/>
                <w:highlight w:val="none"/>
                <w:u w:val="none" w:color="auto"/>
                <w:lang w:val="en-US" w:eastAsia="zh-CN" w:bidi="ar-SA"/>
              </w:rPr>
              <w:t>◆</w:t>
            </w:r>
            <w:r>
              <w:rPr>
                <w:rFonts w:hint="eastAsia" w:ascii="宋体" w:hAnsi="宋体" w:eastAsia="宋体" w:cs="宋体"/>
                <w:b/>
                <w:bCs/>
                <w:strike w:val="0"/>
                <w:dstrike w:val="0"/>
                <w:color w:val="auto"/>
                <w:kern w:val="2"/>
                <w:sz w:val="21"/>
                <w:szCs w:val="24"/>
                <w:highlight w:val="none"/>
                <w:u w:val="none" w:color="auto"/>
                <w:lang w:val="en-US" w:eastAsia="zh-CN" w:bidi="ar-SA"/>
              </w:rPr>
              <w:t>栗子房镇：</w:t>
            </w:r>
            <w:r>
              <w:rPr>
                <w:rFonts w:hint="eastAsia" w:ascii="宋体" w:hAnsi="宋体" w:eastAsia="宋体" w:cs="宋体"/>
                <w:b w:val="0"/>
                <w:bCs w:val="0"/>
                <w:strike w:val="0"/>
                <w:dstrike w:val="0"/>
                <w:color w:val="auto"/>
                <w:kern w:val="2"/>
                <w:sz w:val="21"/>
                <w:szCs w:val="24"/>
                <w:highlight w:val="none"/>
                <w:u w:val="none" w:color="auto"/>
                <w:lang w:val="en-US" w:eastAsia="zh-CN" w:bidi="ar-SA"/>
              </w:rPr>
              <w:t>锚定现代农业、海洋经济、文旅文创、清洁能源四大赛道</w:t>
            </w:r>
            <w:r>
              <w:rPr>
                <w:rFonts w:hint="eastAsia" w:ascii="宋体" w:hAnsi="宋体" w:cs="宋体"/>
                <w:b w:val="0"/>
                <w:bCs w:val="0"/>
                <w:strike w:val="0"/>
                <w:dstrike w:val="0"/>
                <w:color w:val="auto"/>
                <w:kern w:val="2"/>
                <w:sz w:val="21"/>
                <w:szCs w:val="24"/>
                <w:highlight w:val="none"/>
                <w:u w:val="none" w:color="auto"/>
                <w:lang w:val="en-US" w:eastAsia="zh-CN" w:bidi="ar-SA"/>
              </w:rPr>
              <w:t>，</w:t>
            </w:r>
            <w:r>
              <w:rPr>
                <w:rFonts w:hint="eastAsia" w:ascii="宋体" w:hAnsi="宋体" w:eastAsia="宋体" w:cs="宋体"/>
                <w:b w:val="0"/>
                <w:bCs w:val="0"/>
                <w:strike w:val="0"/>
                <w:dstrike w:val="0"/>
                <w:color w:val="auto"/>
                <w:kern w:val="2"/>
                <w:sz w:val="21"/>
                <w:szCs w:val="24"/>
                <w:highlight w:val="none"/>
                <w:u w:val="none" w:color="auto"/>
                <w:lang w:val="en-US" w:eastAsia="zh-CN" w:bidi="ar-SA"/>
              </w:rPr>
              <w:t>做精特色种植养殖与农渔产品深加工，延链增值做强一产；深挖民俗文化资源开发文创产品，文旅融合激活三产；实施核电配套工程，探索新能源应用场景，打造产镇融合发展新增长极。</w:t>
            </w:r>
          </w:p>
          <w:p>
            <w:pPr>
              <w:pStyle w:val="10"/>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strike w:val="0"/>
                <w:dstrike w:val="0"/>
                <w:color w:val="auto"/>
                <w:highlight w:val="none"/>
                <w:u w:val="none" w:color="auto"/>
                <w:lang w:val="en-US" w:eastAsia="zh-CN"/>
              </w:rPr>
            </w:pPr>
            <w:r>
              <w:rPr>
                <w:rFonts w:hint="eastAsia"/>
                <w:strike w:val="0"/>
                <w:dstrike w:val="0"/>
                <w:color w:val="auto"/>
                <w:highlight w:val="none"/>
                <w:u w:val="none" w:color="auto"/>
                <w:lang w:val="en-US" w:eastAsia="zh-CN"/>
              </w:rPr>
              <w:t>◆</w:t>
            </w:r>
            <w:r>
              <w:rPr>
                <w:rFonts w:hint="eastAsia" w:ascii="宋体" w:hAnsi="宋体" w:eastAsia="宋体" w:cs="宋体"/>
                <w:b/>
                <w:bCs/>
                <w:strike w:val="0"/>
                <w:dstrike w:val="0"/>
                <w:color w:val="auto"/>
                <w:kern w:val="2"/>
                <w:sz w:val="21"/>
                <w:szCs w:val="24"/>
                <w:highlight w:val="none"/>
                <w:u w:val="none" w:color="auto"/>
                <w:lang w:val="en-US" w:eastAsia="zh-CN" w:bidi="ar-SA"/>
              </w:rPr>
              <w:t>大郑镇：</w:t>
            </w:r>
            <w:r>
              <w:rPr>
                <w:rFonts w:hint="eastAsia"/>
                <w:strike w:val="0"/>
                <w:dstrike w:val="0"/>
                <w:color w:val="auto"/>
                <w:highlight w:val="none"/>
                <w:u w:val="none" w:color="auto"/>
                <w:lang w:val="en-US" w:eastAsia="zh-CN"/>
              </w:rPr>
              <w:t>聚力发展水产品加工、机械加工、畜牧养殖三大产业。重点实施生态标准化养殖场、幸福家园颐养中心项目；谋划引进高端养老机构，配套建设康复服务中心，完善康养服务功能。</w:t>
            </w:r>
          </w:p>
          <w:p>
            <w:pPr>
              <w:pStyle w:val="10"/>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b w:val="0"/>
                <w:bCs w:val="0"/>
                <w:strike w:val="0"/>
                <w:dstrike w:val="0"/>
                <w:color w:val="auto"/>
                <w:kern w:val="2"/>
                <w:sz w:val="21"/>
                <w:szCs w:val="24"/>
                <w:highlight w:val="none"/>
                <w:u w:val="none" w:color="auto"/>
                <w:lang w:val="en-US" w:eastAsia="zh-CN" w:bidi="ar-SA"/>
              </w:rPr>
            </w:pPr>
            <w:r>
              <w:rPr>
                <w:rFonts w:hint="eastAsia" w:ascii="宋体" w:hAnsi="宋体" w:eastAsia="宋体" w:cs="宋体"/>
                <w:b w:val="0"/>
                <w:bCs w:val="0"/>
                <w:strike w:val="0"/>
                <w:dstrike w:val="0"/>
                <w:color w:val="auto"/>
                <w:kern w:val="2"/>
                <w:sz w:val="21"/>
                <w:szCs w:val="24"/>
                <w:highlight w:val="none"/>
                <w:u w:val="none" w:color="auto"/>
                <w:lang w:val="en-US" w:eastAsia="zh-CN" w:bidi="ar-SA"/>
              </w:rPr>
              <w:t>◆</w:t>
            </w:r>
            <w:r>
              <w:rPr>
                <w:rFonts w:hint="eastAsia" w:ascii="宋体" w:hAnsi="宋体" w:eastAsia="宋体" w:cs="宋体"/>
                <w:b/>
                <w:bCs/>
                <w:strike w:val="0"/>
                <w:dstrike w:val="0"/>
                <w:color w:val="auto"/>
                <w:kern w:val="2"/>
                <w:sz w:val="21"/>
                <w:szCs w:val="24"/>
                <w:highlight w:val="none"/>
                <w:u w:val="none" w:color="auto"/>
                <w:lang w:val="en-US" w:eastAsia="zh-CN" w:bidi="ar-SA"/>
              </w:rPr>
              <w:t>石城乡：</w:t>
            </w:r>
            <w:r>
              <w:rPr>
                <w:rFonts w:hint="eastAsia" w:ascii="宋体" w:hAnsi="宋体" w:cs="宋体"/>
                <w:b w:val="0"/>
                <w:bCs w:val="0"/>
                <w:strike w:val="0"/>
                <w:dstrike w:val="0"/>
                <w:color w:val="auto"/>
                <w:kern w:val="2"/>
                <w:sz w:val="21"/>
                <w:szCs w:val="24"/>
                <w:highlight w:val="none"/>
                <w:u w:val="none" w:color="auto"/>
                <w:lang w:val="en-US" w:eastAsia="zh-CN" w:bidi="ar-SA"/>
              </w:rPr>
              <w:t>发展康养产业、水产品加工业、低空经济产业、文旅产业。打造综合康养基地，完善适老化配套与健康管理服务；搭建产供销一体化产业链，拓宽线上线下销售渠道；建设物流配套设施，发展低空运输、无人机相关业态；打造红色研学与休闲农业园区，完善文旅配套建设。</w:t>
            </w:r>
          </w:p>
          <w:p>
            <w:pPr>
              <w:pStyle w:val="10"/>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strike w:val="0"/>
                <w:dstrike w:val="0"/>
                <w:color w:val="auto"/>
                <w:kern w:val="2"/>
                <w:sz w:val="21"/>
                <w:szCs w:val="24"/>
                <w:highlight w:val="none"/>
                <w:u w:val="none" w:color="auto"/>
                <w:lang w:val="en-US" w:eastAsia="zh-CN" w:bidi="ar-SA"/>
              </w:rPr>
            </w:pPr>
            <w:r>
              <w:rPr>
                <w:rFonts w:hint="eastAsia" w:ascii="宋体" w:hAnsi="宋体" w:cs="宋体"/>
                <w:b w:val="0"/>
                <w:bCs w:val="0"/>
                <w:strike w:val="0"/>
                <w:dstrike w:val="0"/>
                <w:color w:val="auto"/>
                <w:kern w:val="2"/>
                <w:sz w:val="21"/>
                <w:szCs w:val="24"/>
                <w:highlight w:val="none"/>
                <w:u w:val="none" w:color="auto"/>
                <w:lang w:val="en-US" w:eastAsia="zh-CN" w:bidi="ar-SA"/>
              </w:rPr>
              <w:t>◆</w:t>
            </w:r>
            <w:r>
              <w:rPr>
                <w:rFonts w:hint="eastAsia" w:ascii="宋体" w:hAnsi="宋体" w:eastAsia="宋体" w:cs="宋体"/>
                <w:b/>
                <w:bCs/>
                <w:strike w:val="0"/>
                <w:dstrike w:val="0"/>
                <w:color w:val="auto"/>
                <w:kern w:val="2"/>
                <w:sz w:val="21"/>
                <w:szCs w:val="24"/>
                <w:highlight w:val="none"/>
                <w:u w:val="none" w:color="auto"/>
                <w:lang w:val="en-US" w:eastAsia="zh-CN" w:bidi="ar-SA"/>
              </w:rPr>
              <w:t>王家镇：</w:t>
            </w:r>
            <w:r>
              <w:rPr>
                <w:rFonts w:hint="eastAsia" w:ascii="宋体" w:hAnsi="宋体" w:eastAsia="宋体" w:cs="宋体"/>
                <w:b w:val="0"/>
                <w:bCs w:val="0"/>
                <w:strike w:val="0"/>
                <w:dstrike w:val="0"/>
                <w:color w:val="auto"/>
                <w:kern w:val="2"/>
                <w:sz w:val="21"/>
                <w:szCs w:val="24"/>
                <w:highlight w:val="none"/>
                <w:u w:val="none" w:color="auto"/>
                <w:lang w:val="en-US" w:eastAsia="zh-CN" w:bidi="ar-SA"/>
              </w:rPr>
              <w:t>重点发展海洋及文旅产业。高效规范发展浮筏及底播养殖，推进海洋牧场深远海化、智能化、生态化发展；引进优质资源，推动智慧海岛建设，推进国家级旅游度假区创建和红色研学基地建设，全方位提升景区运营能力和品质。</w:t>
            </w:r>
          </w:p>
          <w:p>
            <w:pPr>
              <w:pStyle w:val="10"/>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 w:val="0"/>
                <w:bCs w:val="0"/>
                <w:strike w:val="0"/>
                <w:dstrike w:val="0"/>
                <w:color w:val="auto"/>
                <w:kern w:val="2"/>
                <w:sz w:val="21"/>
                <w:szCs w:val="24"/>
                <w:highlight w:val="none"/>
                <w:u w:val="none" w:color="auto"/>
                <w:lang w:val="en-US" w:eastAsia="zh-CN" w:bidi="ar-SA"/>
              </w:rPr>
            </w:pPr>
            <w:r>
              <w:rPr>
                <w:rFonts w:hint="eastAsia" w:ascii="宋体" w:hAnsi="宋体" w:eastAsia="宋体" w:cs="宋体"/>
                <w:b w:val="0"/>
                <w:bCs w:val="0"/>
                <w:strike w:val="0"/>
                <w:dstrike w:val="0"/>
                <w:color w:val="auto"/>
                <w:kern w:val="2"/>
                <w:sz w:val="21"/>
                <w:szCs w:val="24"/>
                <w:highlight w:val="none"/>
                <w:u w:val="none" w:color="auto"/>
                <w:lang w:val="en-US" w:eastAsia="zh-CN" w:bidi="ar-SA"/>
              </w:rPr>
              <w:t>◆</w:t>
            </w:r>
            <w:r>
              <w:rPr>
                <w:rFonts w:hint="eastAsia" w:ascii="宋体" w:hAnsi="宋体" w:eastAsia="宋体" w:cs="宋体"/>
                <w:b/>
                <w:bCs/>
                <w:strike w:val="0"/>
                <w:dstrike w:val="0"/>
                <w:color w:val="auto"/>
                <w:kern w:val="2"/>
                <w:sz w:val="21"/>
                <w:szCs w:val="24"/>
                <w:highlight w:val="none"/>
                <w:u w:val="none" w:color="auto"/>
                <w:lang w:val="en-US" w:eastAsia="zh-CN" w:bidi="ar-SA"/>
              </w:rPr>
              <w:t>城山镇：</w:t>
            </w:r>
            <w:r>
              <w:rPr>
                <w:rFonts w:hint="eastAsia" w:ascii="宋体" w:hAnsi="宋体" w:eastAsia="宋体" w:cs="宋体"/>
                <w:b w:val="0"/>
                <w:bCs w:val="0"/>
                <w:strike w:val="0"/>
                <w:dstrike w:val="0"/>
                <w:color w:val="auto"/>
                <w:kern w:val="2"/>
                <w:sz w:val="21"/>
                <w:szCs w:val="24"/>
                <w:highlight w:val="none"/>
                <w:u w:val="none" w:color="auto"/>
                <w:lang w:val="en-US" w:eastAsia="zh-CN" w:bidi="ar-SA"/>
              </w:rPr>
              <w:t>发展现代农业、文旅与服务业，构建以草莓、蓝莓、小米、生姜为核心的“一村一品”产业格局，建设精深加工基地；打造党建大集、古城文化节等品牌，培育民宿集群，推动农文旅融合；扩容农村电商，孵化直播带货，形成“线上引流+线下产销”模式，拓展乡村物流，助力农特产品走向全国。</w:t>
            </w:r>
          </w:p>
          <w:p>
            <w:pPr>
              <w:pStyle w:val="10"/>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default" w:ascii="宋体" w:hAnsi="宋体" w:cs="宋体"/>
                <w:b w:val="0"/>
                <w:bCs w:val="0"/>
                <w:strike w:val="0"/>
                <w:dstrike w:val="0"/>
                <w:color w:val="auto"/>
                <w:kern w:val="2"/>
                <w:sz w:val="21"/>
                <w:szCs w:val="24"/>
                <w:highlight w:val="none"/>
                <w:u w:val="none" w:color="auto"/>
                <w:lang w:val="en-US" w:eastAsia="zh-CN" w:bidi="ar-SA"/>
              </w:rPr>
            </w:pPr>
            <w:r>
              <w:rPr>
                <w:rFonts w:hint="eastAsia" w:ascii="宋体" w:hAnsi="宋体" w:cs="宋体"/>
                <w:b w:val="0"/>
                <w:bCs w:val="0"/>
                <w:strike w:val="0"/>
                <w:dstrike w:val="0"/>
                <w:color w:val="auto"/>
                <w:kern w:val="2"/>
                <w:sz w:val="21"/>
                <w:szCs w:val="24"/>
                <w:highlight w:val="none"/>
                <w:u w:val="none" w:color="auto"/>
                <w:lang w:val="en-US" w:eastAsia="zh-CN" w:bidi="ar-SA"/>
              </w:rPr>
              <w:t>◆</w:t>
            </w:r>
            <w:r>
              <w:rPr>
                <w:rFonts w:hint="eastAsia" w:ascii="宋体" w:hAnsi="宋体" w:eastAsia="宋体" w:cs="宋体"/>
                <w:b/>
                <w:bCs/>
                <w:strike w:val="0"/>
                <w:dstrike w:val="0"/>
                <w:color w:val="auto"/>
                <w:kern w:val="2"/>
                <w:sz w:val="21"/>
                <w:szCs w:val="24"/>
                <w:highlight w:val="none"/>
                <w:u w:val="none" w:color="auto"/>
                <w:lang w:val="en-US" w:eastAsia="zh-CN" w:bidi="ar-SA"/>
              </w:rPr>
              <w:t>徐岭镇：</w:t>
            </w:r>
            <w:r>
              <w:rPr>
                <w:rFonts w:hint="eastAsia" w:ascii="宋体" w:hAnsi="宋体" w:eastAsia="宋体" w:cs="宋体"/>
                <w:b w:val="0"/>
                <w:bCs w:val="0"/>
                <w:strike w:val="0"/>
                <w:dstrike w:val="0"/>
                <w:color w:val="auto"/>
                <w:kern w:val="2"/>
                <w:sz w:val="21"/>
                <w:szCs w:val="24"/>
                <w:highlight w:val="none"/>
                <w:u w:val="none" w:color="auto"/>
                <w:lang w:val="en-US" w:eastAsia="zh-CN" w:bidi="ar-SA"/>
              </w:rPr>
              <w:t>发展绿色数字工业，建设数字化绿色工厂，推动节能减排；发展智慧农业，扶持草莓、蓝莓等优势特色产业，推进“农业+旅游+互联网”融合发展；提升现代服务业，发展休闲旅游，健全物流体系与农村商业网点。</w:t>
            </w:r>
          </w:p>
          <w:p>
            <w:pPr>
              <w:pStyle w:val="10"/>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b w:val="0"/>
                <w:bCs w:val="0"/>
                <w:strike w:val="0"/>
                <w:dstrike w:val="0"/>
                <w:color w:val="auto"/>
                <w:kern w:val="2"/>
                <w:sz w:val="21"/>
                <w:szCs w:val="24"/>
                <w:highlight w:val="none"/>
                <w:u w:val="none" w:color="auto"/>
                <w:lang w:val="en-US" w:eastAsia="zh-CN" w:bidi="ar-SA"/>
              </w:rPr>
            </w:pPr>
            <w:r>
              <w:rPr>
                <w:rFonts w:hint="eastAsia" w:ascii="宋体" w:hAnsi="宋体" w:cs="宋体"/>
                <w:b w:val="0"/>
                <w:bCs w:val="0"/>
                <w:strike w:val="0"/>
                <w:dstrike w:val="0"/>
                <w:color w:val="auto"/>
                <w:kern w:val="2"/>
                <w:sz w:val="21"/>
                <w:szCs w:val="24"/>
                <w:highlight w:val="none"/>
                <w:u w:val="none" w:color="auto"/>
                <w:lang w:val="en-US" w:eastAsia="zh-CN" w:bidi="ar-SA"/>
              </w:rPr>
              <w:t>◆</w:t>
            </w:r>
            <w:r>
              <w:rPr>
                <w:rFonts w:hint="eastAsia" w:ascii="宋体" w:hAnsi="宋体" w:eastAsia="宋体" w:cs="宋体"/>
                <w:b/>
                <w:bCs/>
                <w:strike w:val="0"/>
                <w:dstrike w:val="0"/>
                <w:color w:val="auto"/>
                <w:kern w:val="2"/>
                <w:sz w:val="21"/>
                <w:szCs w:val="24"/>
                <w:highlight w:val="none"/>
                <w:u w:val="none" w:color="auto"/>
                <w:lang w:val="en-US" w:eastAsia="zh-CN" w:bidi="ar-SA"/>
              </w:rPr>
              <w:t>太平岭乡：</w:t>
            </w:r>
            <w:r>
              <w:rPr>
                <w:rFonts w:hint="eastAsia" w:ascii="宋体" w:hAnsi="宋体" w:cs="宋体"/>
                <w:b w:val="0"/>
                <w:bCs w:val="0"/>
                <w:strike w:val="0"/>
                <w:dstrike w:val="0"/>
                <w:color w:val="auto"/>
                <w:kern w:val="2"/>
                <w:sz w:val="21"/>
                <w:szCs w:val="24"/>
                <w:highlight w:val="none"/>
                <w:u w:val="none" w:color="auto"/>
                <w:lang w:val="en-US" w:eastAsia="zh-CN" w:bidi="ar-SA"/>
              </w:rPr>
              <w:t>聚焦现代农业、食品加工、文旅产业协同发展，做强草莓、蓝莓、歇马杏特色农产品，优化分拣包装、冷链物流与电商直播体系，夯实草莓种苗培育根基。依托特色种植延伸食品加工产业链，整合采摘、研学、满族民俗资源，打造农文旅融合特色精品线路。</w:t>
            </w:r>
          </w:p>
          <w:p>
            <w:pPr>
              <w:pStyle w:val="10"/>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b w:val="0"/>
                <w:bCs w:val="0"/>
                <w:strike w:val="0"/>
                <w:dstrike w:val="0"/>
                <w:color w:val="auto"/>
                <w:kern w:val="2"/>
                <w:sz w:val="21"/>
                <w:szCs w:val="24"/>
                <w:highlight w:val="none"/>
                <w:u w:val="none" w:color="auto"/>
                <w:lang w:val="en-US" w:eastAsia="zh-CN" w:bidi="ar-SA"/>
              </w:rPr>
            </w:pPr>
            <w:r>
              <w:rPr>
                <w:rFonts w:hint="eastAsia" w:ascii="宋体" w:hAnsi="宋体" w:cs="宋体"/>
                <w:b w:val="0"/>
                <w:bCs w:val="0"/>
                <w:strike w:val="0"/>
                <w:dstrike w:val="0"/>
                <w:color w:val="auto"/>
                <w:kern w:val="2"/>
                <w:sz w:val="21"/>
                <w:szCs w:val="24"/>
                <w:highlight w:val="none"/>
                <w:u w:val="none" w:color="auto"/>
                <w:lang w:val="en-US" w:eastAsia="zh-CN" w:bidi="ar-SA"/>
              </w:rPr>
              <w:t>◆</w:t>
            </w:r>
            <w:r>
              <w:rPr>
                <w:rFonts w:hint="eastAsia" w:ascii="宋体" w:hAnsi="宋体" w:eastAsia="宋体" w:cs="宋体"/>
                <w:b/>
                <w:bCs/>
                <w:strike w:val="0"/>
                <w:dstrike w:val="0"/>
                <w:color w:val="auto"/>
                <w:kern w:val="2"/>
                <w:sz w:val="21"/>
                <w:szCs w:val="24"/>
                <w:highlight w:val="none"/>
                <w:u w:val="none" w:color="auto"/>
                <w:lang w:val="en-US" w:eastAsia="zh-CN" w:bidi="ar-SA"/>
              </w:rPr>
              <w:t>蓉花山镇：</w:t>
            </w:r>
            <w:r>
              <w:rPr>
                <w:rFonts w:hint="eastAsia" w:ascii="宋体" w:hAnsi="宋体" w:cs="宋体"/>
                <w:b w:val="0"/>
                <w:bCs w:val="0"/>
                <w:strike w:val="0"/>
                <w:dstrike w:val="0"/>
                <w:color w:val="auto"/>
                <w:kern w:val="2"/>
                <w:sz w:val="21"/>
                <w:szCs w:val="24"/>
                <w:highlight w:val="none"/>
                <w:u w:val="none" w:color="auto"/>
                <w:lang w:val="en-US" w:eastAsia="zh-CN" w:bidi="ar-SA"/>
              </w:rPr>
              <w:t>发展现代农业和康养、文旅等现代服务业。重点推进柞蚕产品精深加工；推进长隆德庄园特色温泉洗浴、民俗文化展览为一体的复合型文旅综合体建设。</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cs="宋体"/>
                <w:b w:val="0"/>
                <w:bCs w:val="0"/>
                <w:strike w:val="0"/>
                <w:dstrike w:val="0"/>
                <w:color w:val="auto"/>
                <w:kern w:val="2"/>
                <w:sz w:val="21"/>
                <w:szCs w:val="24"/>
                <w:highlight w:val="none"/>
                <w:u w:val="none" w:color="auto"/>
                <w:lang w:val="en-US" w:eastAsia="zh-CN" w:bidi="ar-SA"/>
              </w:rPr>
            </w:pPr>
            <w:r>
              <w:rPr>
                <w:rFonts w:hint="eastAsia" w:ascii="宋体" w:hAnsi="宋体" w:cs="宋体"/>
                <w:b w:val="0"/>
                <w:bCs w:val="0"/>
                <w:strike w:val="0"/>
                <w:dstrike w:val="0"/>
                <w:color w:val="auto"/>
                <w:kern w:val="2"/>
                <w:sz w:val="21"/>
                <w:szCs w:val="24"/>
                <w:highlight w:val="none"/>
                <w:u w:val="none" w:color="auto"/>
                <w:lang w:val="en-US" w:eastAsia="zh-CN" w:bidi="ar-SA"/>
              </w:rPr>
              <w:t>◆</w:t>
            </w:r>
            <w:r>
              <w:rPr>
                <w:rFonts w:hint="eastAsia" w:ascii="宋体" w:hAnsi="宋体" w:eastAsia="宋体" w:cs="宋体"/>
                <w:b/>
                <w:bCs/>
                <w:strike w:val="0"/>
                <w:dstrike w:val="0"/>
                <w:color w:val="auto"/>
                <w:kern w:val="2"/>
                <w:sz w:val="21"/>
                <w:szCs w:val="24"/>
                <w:highlight w:val="none"/>
                <w:u w:val="none" w:color="auto"/>
                <w:lang w:val="en-US" w:eastAsia="zh-CN" w:bidi="ar-SA"/>
              </w:rPr>
              <w:t>步云山乡：</w:t>
            </w:r>
            <w:r>
              <w:rPr>
                <w:rFonts w:hint="eastAsia" w:ascii="宋体" w:hAnsi="宋体" w:cs="宋体"/>
                <w:b w:val="0"/>
                <w:bCs w:val="0"/>
                <w:strike w:val="0"/>
                <w:dstrike w:val="0"/>
                <w:color w:val="auto"/>
                <w:kern w:val="2"/>
                <w:sz w:val="21"/>
                <w:szCs w:val="24"/>
                <w:highlight w:val="none"/>
                <w:u w:val="none" w:color="auto"/>
                <w:lang w:val="en-US" w:eastAsia="zh-CN" w:bidi="ar-SA"/>
              </w:rPr>
              <w:t>发展文旅康养产业。重点推进步云山温泉康养特色小镇、步云山旅游景区整体开发等项目，探索构建乡村旅游、乡村文创、田园康养、休闲度假等多元旅游格局，提升旅游产业的品质与内涵。</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cs="宋体"/>
                <w:b w:val="0"/>
                <w:bCs w:val="0"/>
                <w:strike w:val="0"/>
                <w:dstrike w:val="0"/>
                <w:color w:val="auto"/>
                <w:kern w:val="2"/>
                <w:sz w:val="21"/>
                <w:szCs w:val="24"/>
                <w:highlight w:val="none"/>
                <w:u w:val="none" w:color="auto"/>
                <w:lang w:val="en-US" w:eastAsia="zh-CN" w:bidi="ar-SA"/>
              </w:rPr>
            </w:pPr>
            <w:r>
              <w:rPr>
                <w:rFonts w:hint="eastAsia" w:ascii="宋体" w:hAnsi="宋体" w:cs="宋体"/>
                <w:b w:val="0"/>
                <w:bCs w:val="0"/>
                <w:strike w:val="0"/>
                <w:dstrike w:val="0"/>
                <w:color w:val="auto"/>
                <w:kern w:val="2"/>
                <w:sz w:val="21"/>
                <w:szCs w:val="24"/>
                <w:highlight w:val="none"/>
                <w:u w:val="none" w:color="auto"/>
                <w:lang w:val="en-US" w:eastAsia="zh-CN" w:bidi="ar-SA"/>
              </w:rPr>
              <w:t>◆</w:t>
            </w:r>
            <w:r>
              <w:rPr>
                <w:rFonts w:hint="eastAsia" w:ascii="宋体" w:hAnsi="宋体" w:eastAsia="宋体" w:cs="宋体"/>
                <w:b/>
                <w:bCs/>
                <w:strike w:val="0"/>
                <w:dstrike w:val="0"/>
                <w:color w:val="auto"/>
                <w:kern w:val="2"/>
                <w:sz w:val="21"/>
                <w:szCs w:val="24"/>
                <w:highlight w:val="none"/>
                <w:u w:val="none" w:color="auto"/>
                <w:lang w:val="en-US" w:eastAsia="zh-CN" w:bidi="ar-SA"/>
              </w:rPr>
              <w:t>桂云花乡：</w:t>
            </w:r>
            <w:r>
              <w:rPr>
                <w:rFonts w:hint="eastAsia" w:ascii="宋体" w:hAnsi="宋体" w:eastAsia="宋体" w:cs="宋体"/>
                <w:b w:val="0"/>
                <w:bCs w:val="0"/>
                <w:strike w:val="0"/>
                <w:dstrike w:val="0"/>
                <w:color w:val="auto"/>
                <w:kern w:val="2"/>
                <w:sz w:val="21"/>
                <w:szCs w:val="24"/>
                <w:highlight w:val="none"/>
                <w:u w:val="none" w:color="auto"/>
                <w:lang w:val="en-US" w:eastAsia="zh-CN" w:bidi="ar-SA"/>
              </w:rPr>
              <w:t>发展现代农业及农文旅融合产业。重点推进岭东村废弃小学翻新盘活工程（二期）项目；建设智慧农业与原产地溯源平台，扩建特色农产品标准化种植基地；盘活闲置资源，推进岭东村农产品分拣仓储中心、“枕石驿站”文旅融合等项目落地。</w:t>
            </w:r>
          </w:p>
          <w:p>
            <w:pPr>
              <w:pStyle w:val="10"/>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b w:val="0"/>
                <w:bCs w:val="0"/>
                <w:strike w:val="0"/>
                <w:dstrike w:val="0"/>
                <w:color w:val="auto"/>
                <w:kern w:val="2"/>
                <w:sz w:val="21"/>
                <w:szCs w:val="24"/>
                <w:highlight w:val="none"/>
                <w:u w:val="none" w:color="auto"/>
                <w:lang w:val="en-US" w:eastAsia="zh-CN" w:bidi="ar-SA"/>
              </w:rPr>
            </w:pPr>
            <w:r>
              <w:rPr>
                <w:rFonts w:hint="eastAsia" w:ascii="宋体" w:hAnsi="宋体" w:cs="宋体"/>
                <w:b w:val="0"/>
                <w:bCs w:val="0"/>
                <w:strike w:val="0"/>
                <w:dstrike w:val="0"/>
                <w:color w:val="auto"/>
                <w:kern w:val="2"/>
                <w:sz w:val="21"/>
                <w:szCs w:val="24"/>
                <w:highlight w:val="none"/>
                <w:u w:val="none" w:color="auto"/>
                <w:lang w:val="en-US" w:eastAsia="zh-CN" w:bidi="ar-SA"/>
              </w:rPr>
              <w:t>◆</w:t>
            </w:r>
            <w:r>
              <w:rPr>
                <w:rFonts w:hint="eastAsia" w:ascii="宋体" w:hAnsi="宋体" w:eastAsia="宋体" w:cs="宋体"/>
                <w:b/>
                <w:bCs/>
                <w:strike w:val="0"/>
                <w:dstrike w:val="0"/>
                <w:color w:val="auto"/>
                <w:kern w:val="2"/>
                <w:sz w:val="21"/>
                <w:szCs w:val="24"/>
                <w:highlight w:val="none"/>
                <w:u w:val="none" w:color="auto"/>
                <w:lang w:val="en-US" w:eastAsia="zh-CN" w:bidi="ar-SA"/>
              </w:rPr>
              <w:t>光明山镇：</w:t>
            </w:r>
            <w:r>
              <w:rPr>
                <w:rFonts w:hint="eastAsia" w:ascii="宋体" w:hAnsi="宋体" w:cs="宋体"/>
                <w:b w:val="0"/>
                <w:bCs w:val="0"/>
                <w:strike w:val="0"/>
                <w:dstrike w:val="0"/>
                <w:color w:val="auto"/>
                <w:kern w:val="2"/>
                <w:sz w:val="21"/>
                <w:szCs w:val="24"/>
                <w:highlight w:val="none"/>
                <w:u w:val="none" w:color="auto"/>
                <w:lang w:val="en-US" w:eastAsia="zh-CN" w:bidi="ar-SA"/>
              </w:rPr>
              <w:t>发展现代农业、装备制造、商贸物流、文旅康养等重点产业。 重点建设草莓种质资源试验种植基地，加快新品种引育繁推，普及推广绿色防控与智慧农业技术；持续推动工业企业技术改造与设备更新，赋能产业转型升级、提质增效；构建线上线下深度融合的现代流通网络，着力培育孵化小微企业；提质升级养老服务供给，高标准打造省级医养结合示范敬老院。</w:t>
            </w:r>
          </w:p>
          <w:p>
            <w:pPr>
              <w:pStyle w:val="10"/>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b w:val="0"/>
                <w:bCs w:val="0"/>
                <w:strike w:val="0"/>
                <w:dstrike w:val="0"/>
                <w:color w:val="auto"/>
                <w:kern w:val="2"/>
                <w:sz w:val="21"/>
                <w:szCs w:val="24"/>
                <w:highlight w:val="none"/>
                <w:u w:val="none" w:color="auto"/>
                <w:lang w:val="en-US" w:eastAsia="zh-CN" w:bidi="ar-SA"/>
              </w:rPr>
            </w:pPr>
            <w:r>
              <w:rPr>
                <w:rFonts w:hint="eastAsia" w:ascii="宋体" w:hAnsi="宋体" w:cs="宋体"/>
                <w:b w:val="0"/>
                <w:bCs w:val="0"/>
                <w:strike w:val="0"/>
                <w:dstrike w:val="0"/>
                <w:color w:val="auto"/>
                <w:kern w:val="2"/>
                <w:sz w:val="21"/>
                <w:szCs w:val="24"/>
                <w:highlight w:val="none"/>
                <w:u w:val="none" w:color="auto"/>
                <w:lang w:val="en-US" w:eastAsia="zh-CN" w:bidi="ar-SA"/>
              </w:rPr>
              <w:t>◆</w:t>
            </w:r>
            <w:r>
              <w:rPr>
                <w:rFonts w:hint="eastAsia" w:ascii="宋体" w:hAnsi="宋体" w:eastAsia="宋体" w:cs="宋体"/>
                <w:b/>
                <w:bCs/>
                <w:strike w:val="0"/>
                <w:dstrike w:val="0"/>
                <w:color w:val="auto"/>
                <w:kern w:val="2"/>
                <w:sz w:val="21"/>
                <w:szCs w:val="24"/>
                <w:highlight w:val="none"/>
                <w:u w:val="none" w:color="auto"/>
                <w:lang w:val="en-US" w:eastAsia="zh-CN" w:bidi="ar-SA"/>
              </w:rPr>
              <w:t>长岭镇：</w:t>
            </w:r>
            <w:r>
              <w:rPr>
                <w:rFonts w:hint="eastAsia" w:ascii="宋体" w:hAnsi="宋体" w:cs="宋体"/>
                <w:b w:val="0"/>
                <w:bCs w:val="0"/>
                <w:strike w:val="0"/>
                <w:dstrike w:val="0"/>
                <w:color w:val="auto"/>
                <w:kern w:val="2"/>
                <w:sz w:val="21"/>
                <w:szCs w:val="24"/>
                <w:highlight w:val="none"/>
                <w:u w:val="none" w:color="auto"/>
                <w:lang w:val="en-US" w:eastAsia="zh-CN" w:bidi="ar-SA"/>
              </w:rPr>
              <w:t>发展现代农业、文旅康养、现代服务、清洁能源等产业。 聚力现代农业，做强蓝莓种苗繁育与草莓新品种示范推广，推进土地集约化、规模化、机械化种植；依托一面山生态禀赋，打造文旅康养小镇；发挥交通区位优势，发展农产品电商；精准招引绿色产业，探索光伏等清洁能源发展</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b w:val="0"/>
                <w:bCs w:val="0"/>
                <w:strike w:val="0"/>
                <w:dstrike w:val="0"/>
                <w:color w:val="auto"/>
                <w:kern w:val="2"/>
                <w:sz w:val="21"/>
                <w:szCs w:val="24"/>
                <w:highlight w:val="none"/>
                <w:u w:val="none" w:color="auto"/>
                <w:lang w:val="en-US" w:eastAsia="zh-CN" w:bidi="ar-SA"/>
              </w:rPr>
            </w:pPr>
            <w:r>
              <w:rPr>
                <w:rFonts w:hint="eastAsia" w:ascii="宋体" w:hAnsi="宋体" w:eastAsia="宋体" w:cs="宋体"/>
                <w:b w:val="0"/>
                <w:bCs w:val="0"/>
                <w:strike w:val="0"/>
                <w:dstrike w:val="0"/>
                <w:color w:val="auto"/>
                <w:kern w:val="2"/>
                <w:sz w:val="21"/>
                <w:szCs w:val="24"/>
                <w:highlight w:val="none"/>
                <w:u w:val="none" w:color="auto"/>
                <w:lang w:val="en-US" w:eastAsia="zh-CN" w:bidi="ar-SA"/>
              </w:rPr>
              <w:t>◆</w:t>
            </w:r>
            <w:r>
              <w:rPr>
                <w:rFonts w:hint="eastAsia" w:ascii="宋体" w:hAnsi="宋体" w:eastAsia="宋体" w:cs="宋体"/>
                <w:b/>
                <w:bCs/>
                <w:strike w:val="0"/>
                <w:dstrike w:val="0"/>
                <w:color w:val="auto"/>
                <w:kern w:val="2"/>
                <w:sz w:val="21"/>
                <w:szCs w:val="24"/>
                <w:highlight w:val="none"/>
                <w:u w:val="none" w:color="auto"/>
                <w:lang w:val="en-US" w:eastAsia="zh-CN" w:bidi="ar-SA"/>
              </w:rPr>
              <w:t>荷花山镇：</w:t>
            </w:r>
            <w:r>
              <w:rPr>
                <w:rFonts w:hint="eastAsia" w:ascii="宋体" w:hAnsi="宋体" w:cs="宋体"/>
                <w:b w:val="0"/>
                <w:bCs w:val="0"/>
                <w:strike w:val="0"/>
                <w:dstrike w:val="0"/>
                <w:color w:val="auto"/>
                <w:kern w:val="2"/>
                <w:sz w:val="21"/>
                <w:szCs w:val="24"/>
                <w:highlight w:val="none"/>
                <w:u w:val="none" w:color="auto"/>
                <w:lang w:val="en-US" w:eastAsia="zh-CN" w:bidi="ar-SA"/>
              </w:rPr>
              <w:t>发展精品农文旅融合产业。依托碧流河水库国家级水利风景区，打造集农耕体验、采摘露营、民宿研学、文创产品开发于一体的文旅小镇；同步推动以“水源生态涵养”为品牌特色的农产品生产销售环节精细化管理，提升“花山臻选”品牌知名度和美誉度。</w:t>
            </w:r>
          </w:p>
          <w:p>
            <w:pPr>
              <w:pStyle w:val="10"/>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b w:val="0"/>
                <w:bCs w:val="0"/>
                <w:strike w:val="0"/>
                <w:dstrike w:val="0"/>
                <w:color w:val="auto"/>
                <w:kern w:val="2"/>
                <w:sz w:val="21"/>
                <w:szCs w:val="24"/>
                <w:highlight w:val="none"/>
                <w:u w:val="none" w:color="auto"/>
                <w:lang w:val="en-US" w:eastAsia="zh-CN" w:bidi="ar-SA"/>
              </w:rPr>
            </w:pPr>
            <w:r>
              <w:rPr>
                <w:rFonts w:hint="eastAsia" w:ascii="宋体" w:hAnsi="宋体" w:cs="宋体"/>
                <w:b w:val="0"/>
                <w:bCs w:val="0"/>
                <w:strike w:val="0"/>
                <w:dstrike w:val="0"/>
                <w:color w:val="auto"/>
                <w:kern w:val="2"/>
                <w:sz w:val="21"/>
                <w:szCs w:val="24"/>
                <w:highlight w:val="none"/>
                <w:u w:val="none" w:color="auto"/>
                <w:lang w:val="en-US" w:eastAsia="zh-CN" w:bidi="ar-SA"/>
              </w:rPr>
              <w:t>◆</w:t>
            </w:r>
            <w:r>
              <w:rPr>
                <w:rFonts w:hint="eastAsia" w:ascii="宋体" w:hAnsi="宋体" w:eastAsia="宋体" w:cs="宋体"/>
                <w:b/>
                <w:bCs/>
                <w:strike w:val="0"/>
                <w:dstrike w:val="0"/>
                <w:color w:val="auto"/>
                <w:kern w:val="2"/>
                <w:sz w:val="21"/>
                <w:szCs w:val="24"/>
                <w:highlight w:val="none"/>
                <w:u w:val="none" w:color="auto"/>
                <w:lang w:val="en-US" w:eastAsia="zh-CN" w:bidi="ar-SA"/>
              </w:rPr>
              <w:t>大营镇：</w:t>
            </w:r>
            <w:r>
              <w:rPr>
                <w:rFonts w:hint="eastAsia" w:ascii="宋体" w:hAnsi="宋体" w:cs="宋体"/>
                <w:b w:val="0"/>
                <w:bCs w:val="0"/>
                <w:strike w:val="0"/>
                <w:dstrike w:val="0"/>
                <w:color w:val="auto"/>
                <w:kern w:val="2"/>
                <w:sz w:val="21"/>
                <w:szCs w:val="24"/>
                <w:highlight w:val="none"/>
                <w:u w:val="none" w:color="auto"/>
                <w:lang w:val="en-US" w:eastAsia="zh-CN" w:bidi="ar-SA"/>
              </w:rPr>
              <w:t>发展特色农业、文旅康养及电商产业。重点推动蓝莓、草莓、大樱桃等特色水果品牌建设，提升产品附加值；推动靴子沟培育精品民宿集群，盘活银石滩生态公园、度仙谷等区域资源；建立电商服务中心，培育网络主播及电商人才。</w:t>
            </w:r>
          </w:p>
          <w:p>
            <w:pPr>
              <w:pStyle w:val="10"/>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b w:val="0"/>
                <w:bCs w:val="0"/>
                <w:strike w:val="0"/>
                <w:dstrike w:val="0"/>
                <w:color w:val="auto"/>
                <w:kern w:val="2"/>
                <w:sz w:val="21"/>
                <w:szCs w:val="24"/>
                <w:highlight w:val="none"/>
                <w:u w:val="none" w:color="auto"/>
                <w:lang w:val="en-US" w:eastAsia="zh-CN" w:bidi="ar-SA"/>
              </w:rPr>
            </w:pPr>
            <w:r>
              <w:rPr>
                <w:rFonts w:hint="eastAsia" w:ascii="宋体" w:hAnsi="宋体" w:cs="宋体"/>
                <w:b w:val="0"/>
                <w:bCs w:val="0"/>
                <w:strike w:val="0"/>
                <w:dstrike w:val="0"/>
                <w:color w:val="auto"/>
                <w:kern w:val="2"/>
                <w:sz w:val="21"/>
                <w:szCs w:val="24"/>
                <w:highlight w:val="none"/>
                <w:u w:val="none" w:color="auto"/>
                <w:lang w:val="en-US" w:eastAsia="zh-CN" w:bidi="ar-SA"/>
              </w:rPr>
              <w:t>◆</w:t>
            </w:r>
            <w:r>
              <w:rPr>
                <w:rFonts w:hint="eastAsia" w:ascii="宋体" w:hAnsi="宋体" w:eastAsia="宋体" w:cs="宋体"/>
                <w:b/>
                <w:bCs/>
                <w:strike w:val="0"/>
                <w:dstrike w:val="0"/>
                <w:color w:val="auto"/>
                <w:kern w:val="2"/>
                <w:sz w:val="21"/>
                <w:szCs w:val="24"/>
                <w:highlight w:val="none"/>
                <w:u w:val="none" w:color="auto"/>
                <w:lang w:val="en-US" w:eastAsia="zh-CN" w:bidi="ar-SA"/>
              </w:rPr>
              <w:t>仙人洞镇：</w:t>
            </w:r>
            <w:r>
              <w:rPr>
                <w:rFonts w:hint="eastAsia" w:ascii="宋体" w:hAnsi="宋体" w:cs="宋体"/>
                <w:b w:val="0"/>
                <w:bCs w:val="0"/>
                <w:strike w:val="0"/>
                <w:dstrike w:val="0"/>
                <w:color w:val="auto"/>
                <w:kern w:val="2"/>
                <w:sz w:val="21"/>
                <w:szCs w:val="24"/>
                <w:highlight w:val="none"/>
                <w:u w:val="none" w:color="auto"/>
                <w:lang w:val="en-US" w:eastAsia="zh-CN" w:bidi="ar-SA"/>
              </w:rPr>
              <w:t>立足生态资源禀赋，抓实经济指标提升与生态产业试点培育，依托电商赋能盘活村级资产，壮大村级集体经济。聚力文旅康养与农业两大主导产业，做强草莓、蓝莓等特色农产品品牌，借助电商渠道拓宽销路，推动产业提质增效。</w:t>
            </w:r>
          </w:p>
          <w:p>
            <w:pPr>
              <w:pStyle w:val="10"/>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strike w:val="0"/>
                <w:dstrike w:val="0"/>
                <w:color w:val="auto"/>
                <w:highlight w:val="none"/>
                <w:u w:val="none" w:color="auto"/>
                <w:shd w:val="clear" w:color="auto" w:fill="auto"/>
                <w:vertAlign w:val="baseline"/>
                <w:lang w:val="en-US" w:eastAsia="zh-CN"/>
              </w:rPr>
            </w:pPr>
            <w:r>
              <w:rPr>
                <w:rFonts w:hint="eastAsia" w:ascii="宋体" w:hAnsi="宋体" w:cs="宋体"/>
                <w:b w:val="0"/>
                <w:bCs w:val="0"/>
                <w:strike w:val="0"/>
                <w:dstrike w:val="0"/>
                <w:color w:val="auto"/>
                <w:kern w:val="2"/>
                <w:sz w:val="21"/>
                <w:szCs w:val="24"/>
                <w:highlight w:val="none"/>
                <w:u w:val="none" w:color="auto"/>
                <w:lang w:val="en-US" w:eastAsia="zh-CN" w:bidi="ar-SA"/>
              </w:rPr>
              <w:t>◆</w:t>
            </w:r>
            <w:r>
              <w:rPr>
                <w:rFonts w:hint="eastAsia" w:ascii="宋体" w:hAnsi="宋体" w:eastAsia="宋体" w:cs="宋体"/>
                <w:b/>
                <w:bCs/>
                <w:strike w:val="0"/>
                <w:dstrike w:val="0"/>
                <w:color w:val="auto"/>
                <w:kern w:val="2"/>
                <w:sz w:val="21"/>
                <w:szCs w:val="24"/>
                <w:highlight w:val="none"/>
                <w:u w:val="none" w:color="auto"/>
                <w:lang w:val="en-US" w:eastAsia="zh-CN" w:bidi="ar-SA"/>
              </w:rPr>
              <w:t>塔岭镇：</w:t>
            </w:r>
            <w:r>
              <w:rPr>
                <w:rFonts w:hint="eastAsia" w:ascii="宋体" w:hAnsi="宋体" w:cs="宋体"/>
                <w:b w:val="0"/>
                <w:bCs w:val="0"/>
                <w:strike w:val="0"/>
                <w:dstrike w:val="0"/>
                <w:color w:val="auto"/>
                <w:kern w:val="2"/>
                <w:sz w:val="21"/>
                <w:szCs w:val="24"/>
                <w:highlight w:val="none"/>
                <w:u w:val="none" w:color="auto"/>
                <w:lang w:val="en-US" w:eastAsia="zh-CN" w:bidi="ar-SA"/>
              </w:rPr>
              <w:t>聚力发展特色精品农业、文旅康养、农村电商数字经济三大主导产业。做强蓝莓特色农业，延伸产业链、塑造品牌价值；依托来宝沟运动小镇，盘活文旅康养资源；升级电商产销模式，培育“新农人”，借数字经济拓宽增收渠道。</w:t>
            </w:r>
          </w:p>
        </w:tc>
      </w:tr>
    </w:tbl>
    <w:p>
      <w:pPr>
        <w:pStyle w:val="4"/>
        <w:pageBreakBefore w:val="0"/>
        <w:widowControl w:val="0"/>
        <w:kinsoku/>
        <w:wordWrap/>
        <w:overflowPunct/>
        <w:topLinePunct w:val="0"/>
        <w:autoSpaceDE/>
        <w:autoSpaceDN/>
        <w:bidi w:val="0"/>
        <w:spacing w:line="600" w:lineRule="exact"/>
        <w:textAlignment w:val="auto"/>
        <w:rPr>
          <w:rFonts w:hint="default"/>
          <w:strike w:val="0"/>
          <w:dstrike w:val="0"/>
          <w:color w:val="auto"/>
          <w:highlight w:val="none"/>
          <w:u w:val="none" w:color="auto"/>
          <w:shd w:val="clear" w:color="auto" w:fill="auto"/>
          <w:lang w:val="en-US" w:eastAsia="zh-CN"/>
        </w:rPr>
      </w:pPr>
      <w:bookmarkStart w:id="129" w:name="_Toc1624144808"/>
      <w:r>
        <w:rPr>
          <w:rFonts w:hint="eastAsia"/>
          <w:strike w:val="0"/>
          <w:dstrike w:val="0"/>
          <w:color w:val="auto"/>
          <w:highlight w:val="none"/>
          <w:u w:val="none" w:color="auto"/>
          <w:shd w:val="clear" w:color="auto" w:fill="auto"/>
          <w:lang w:val="en-US" w:eastAsia="zh-CN"/>
        </w:rPr>
        <w:t>第三节 统筹海洋开发利用空间</w:t>
      </w:r>
      <w:bookmarkEnd w:id="129"/>
    </w:p>
    <w:p>
      <w:pPr>
        <w:pageBreakBefore w:val="0"/>
        <w:widowControl w:val="0"/>
        <w:kinsoku/>
        <w:wordWrap/>
        <w:overflowPunct/>
        <w:topLinePunct w:val="0"/>
        <w:autoSpaceDE/>
        <w:autoSpaceDN/>
        <w:bidi w:val="0"/>
        <w:spacing w:line="600" w:lineRule="exact"/>
        <w:ind w:firstLine="642" w:firstLineChars="200"/>
        <w:jc w:val="both"/>
        <w:textAlignment w:val="auto"/>
        <w:rPr>
          <w:rFonts w:hint="default"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pPr>
      <w:r>
        <w:rPr>
          <w:rFonts w:hint="eastAsia"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t>统筹协调海域空间布局。</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坚持“疏近用远、生态优先”发展理念，推进陆海一体化保护与利用。统筹交通运输用海、渔业用海、工矿通信用海、游憩用海、特殊用海、海洋预留区等海洋空间，促进海洋开发利用空间资源节约集约利用。优先保障涉及国防安全、公共利益、交通航运安全、海洋能源、海洋新兴产业、生态安全及国家重大项目的用海需求。保障渔民生产生活和现代渔业发展的用海需求，重点推进海洋牧场建设，有序拓展游憩用海，积极培育休闲渔业、海上运动休闲等海域海岛旅游新兴业态。在海上风电等大规模海域开发使用过程中，加强海域和海岸线集约利用和海洋生态环境保护。加强通信海缆基础设施建设和空间管控。</w:t>
      </w:r>
    </w:p>
    <w:p>
      <w:pPr>
        <w:pageBreakBefore w:val="0"/>
        <w:widowControl w:val="0"/>
        <w:kinsoku/>
        <w:wordWrap/>
        <w:overflowPunct/>
        <w:topLinePunct w:val="0"/>
        <w:autoSpaceDE/>
        <w:autoSpaceDN/>
        <w:bidi w:val="0"/>
        <w:spacing w:line="600" w:lineRule="exact"/>
        <w:ind w:firstLine="642" w:firstLineChars="200"/>
        <w:jc w:val="both"/>
        <w:textAlignment w:val="auto"/>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pPr>
      <w:r>
        <w:rPr>
          <w:rFonts w:hint="eastAsia"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t>促进海域立体复合利用。</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探索实施海域立体分层设权，科学划分海面、水体、海底等利用层次，推动养殖、能源、旅游等功能在空间上错位布局，促进海域立体化开发利用。重点鼓励海洋牧场与其他用海活动立体分层设权，促进海洋空间资源集约高效利用。完善立体用海审批标准，优化跨部门审批流程。加强海域使用动态监测，提升海域精细化管理水平。</w:t>
      </w:r>
    </w:p>
    <w:p>
      <w:pPr>
        <w:pageBreakBefore w:val="0"/>
        <w:widowControl w:val="0"/>
        <w:kinsoku/>
        <w:wordWrap/>
        <w:overflowPunct/>
        <w:topLinePunct w:val="0"/>
        <w:autoSpaceDE/>
        <w:autoSpaceDN/>
        <w:bidi w:val="0"/>
        <w:spacing w:line="600" w:lineRule="exact"/>
        <w:ind w:firstLine="642" w:firstLineChars="200"/>
        <w:jc w:val="both"/>
        <w:textAlignment w:val="auto"/>
        <w:rPr>
          <w:rFonts w:hint="eastAsia"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加强海岛保护与分类发展。</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对5座有居民海岛，控制海岛及周边海域利用规模和开发强度，完善其交通、水、电、通讯等基础设施。重点推动石城岛、大王家岛两座综合型大岛整体开发，加强与中心城区交通联系，一体化推进旅游高品质开发。加强寿龙岛、井蛙岛、双狮岛三座小型岛屿环境保护与生态修复，依托渔业和休闲旅游业，建设特色产业型海岛。对无居民海岛实行名录管理，明确分类管控政策。分类引导无居民海岛建设，在不影响海岛生态稳定的情况下，适度开展观光旅游和渔业生产活动，重点推动蛤蜊岛等近岸、近城岛屿旅游开发。自然保护地范围内的无居民海岛，实施整岛保护、封岛保育，对其余纳入生态保护红线管理的无居民海岛按照生态保护红线管理要求加强保护，严格禁止一切与维护强化其生态功能或与国防军事安全无关的开发建设行为。</w:t>
      </w:r>
    </w:p>
    <w:p>
      <w:pPr>
        <w:pStyle w:val="4"/>
        <w:pageBreakBefore w:val="0"/>
        <w:widowControl w:val="0"/>
        <w:kinsoku/>
        <w:wordWrap/>
        <w:overflowPunct/>
        <w:topLinePunct w:val="0"/>
        <w:autoSpaceDE/>
        <w:autoSpaceDN/>
        <w:bidi w:val="0"/>
        <w:spacing w:line="600" w:lineRule="exact"/>
        <w:textAlignment w:val="auto"/>
        <w:rPr>
          <w:rFonts w:hint="eastAsia"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pPr>
      <w:bookmarkStart w:id="130" w:name="_Toc1604713415"/>
      <w:r>
        <w:rPr>
          <w:rFonts w:hint="eastAsia"/>
          <w:strike w:val="0"/>
          <w:dstrike w:val="0"/>
          <w:color w:val="auto"/>
          <w:highlight w:val="none"/>
          <w:u w:val="none" w:color="auto"/>
          <w:shd w:val="clear" w:color="auto" w:fill="auto"/>
          <w:lang w:val="en-US" w:eastAsia="zh-CN"/>
        </w:rPr>
        <w:t>第四节 推动海洋经济特色发展</w:t>
      </w:r>
      <w:bookmarkEnd w:id="130"/>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pPr>
      <w:r>
        <w:rPr>
          <w:rFonts w:hint="eastAsia"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t>提升海洋优势产业能级。</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做大做强做优现代海洋产业，建设现代化“蓝色粮仓”，进一步做实“中国贝类产业之都”，创建“中国红鳍东方鲀之都”。鼓励发展三产融合的海洋牧场，推广“养殖</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加工</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销售”一体化经营模式，探索“风电＋养殖”发展模式，高水平规划建设生态恢复性海洋牧场5个。推动水产养殖产业向深远海发展，积极发展养殖工船、桁架式网箱和深水重力式网箱。鼓励企业采取“公司＋基地＋农户”模式，推广标准化、智能化养殖技术。大力推进海洋捕捞渔船更新改造，提高渔船现代化水平和安全生产能力。对渔船通导、救生、消防</w:t>
      </w:r>
      <w:r>
        <w:rPr>
          <w:rFonts w:hint="eastAsia" w:ascii="仿宋_GB2312" w:hAnsi="仿宋_GB2312" w:eastAsia="仿宋_GB2312" w:cs="仿宋_GB2312"/>
          <w:strike w:val="0"/>
          <w:dstrike w:val="0"/>
          <w:color w:val="auto"/>
          <w:sz w:val="32"/>
          <w:szCs w:val="32"/>
          <w:highlight w:val="none"/>
          <w:u w:val="none" w:color="auto"/>
          <w:lang w:val="en-US" w:eastAsia="zh-CN"/>
        </w:rPr>
        <w:t>、检测等设施设备升级改造，推进设施设备数字化，对厨房、防污染设施、制冷保鲜系统等迭代更新，推进功能绿色化。</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以庄河特色海产品为重点，打造一批具有较高知名度和美誉度的海产品品牌，推动“绿色技术＋认证”赋能，建设海产品绿色生产溯源体系，提升水产品市场竞争力，促进庄河从“原料产地”向“品牌高地”跃升。到2030年，水产品产量达到90万吨，渔业产值达到155亿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pP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drawing>
          <wp:inline distT="0" distB="0" distL="114300" distR="114300">
            <wp:extent cx="4857750" cy="4067175"/>
            <wp:effectExtent l="0" t="0" r="0" b="9525"/>
            <wp:docPr id="3" name="图片 3" descr="海洋经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海洋经济"/>
                    <pic:cNvPicPr>
                      <a:picLocks noChangeAspect="1"/>
                    </pic:cNvPicPr>
                  </pic:nvPicPr>
                  <pic:blipFill>
                    <a:blip r:embed="rId6"/>
                    <a:stretch>
                      <a:fillRect/>
                    </a:stretch>
                  </pic:blipFill>
                  <pic:spPr>
                    <a:xfrm>
                      <a:off x="0" y="0"/>
                      <a:ext cx="4857750" cy="4067175"/>
                    </a:xfrm>
                    <a:prstGeom prst="rect">
                      <a:avLst/>
                    </a:prstGeom>
                  </pic:spPr>
                </pic:pic>
              </a:graphicData>
            </a:graphic>
          </wp:inline>
        </w:drawing>
      </w:r>
    </w:p>
    <w:p>
      <w:pPr>
        <w:jc w:val="center"/>
        <w:rPr>
          <w:rFonts w:hint="default" w:ascii="黑体" w:hAnsi="黑体" w:eastAsia="黑体" w:cs="黑体"/>
          <w:strike w:val="0"/>
          <w:dstrike w:val="0"/>
          <w:color w:val="auto"/>
          <w:sz w:val="24"/>
          <w:szCs w:val="24"/>
          <w:highlight w:val="none"/>
          <w:u w:val="none" w:color="auto"/>
          <w:lang w:val="en-US" w:eastAsia="zh-CN"/>
        </w:rPr>
      </w:pPr>
      <w:r>
        <w:rPr>
          <w:rFonts w:hint="eastAsia" w:ascii="黑体" w:hAnsi="黑体" w:eastAsia="黑体" w:cs="黑体"/>
          <w:strike w:val="0"/>
          <w:dstrike w:val="0"/>
          <w:color w:val="auto"/>
          <w:sz w:val="24"/>
          <w:szCs w:val="24"/>
          <w:highlight w:val="none"/>
          <w:u w:val="none" w:color="auto"/>
          <w:lang w:val="en-US" w:eastAsia="zh-CN"/>
        </w:rPr>
        <w:t>图2 海产品加工产业链图</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pPr>
      <w:r>
        <w:rPr>
          <w:rFonts w:hint="eastAsia"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t>培育海洋新质生产力。</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坚持海洋科技自立自强与创新人才引领双轮驱动，在发展中逐步集聚创新资源，提升海洋科技创新策源能力。引导</w:t>
      </w:r>
      <w:r>
        <w:rPr>
          <w:rFonts w:hint="eastAsia" w:ascii="仿宋_GB2312" w:eastAsia="仿宋_GB2312"/>
          <w:strike w:val="0"/>
          <w:dstrike w:val="0"/>
          <w:color w:val="auto"/>
          <w:sz w:val="32"/>
          <w:szCs w:val="32"/>
          <w:highlight w:val="none"/>
          <w:u w:val="none" w:color="auto"/>
          <w:shd w:val="clear" w:color="auto" w:fill="auto"/>
          <w:lang w:val="en-US" w:eastAsia="zh-CN"/>
        </w:rPr>
        <w:t>庄河</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海洋产业企业加大产学研合作力度，在育苗养殖技术、现代海洋牧场、海洋食品等领域开展科技成果转化。着力招引国家级水产原良种场和生物育种高技术企业，开展种质创新研究，培育抗浪性强、耐低氧品种，重点突破海参、生蚝等庄河优势品种的抗逆性育种技术，鼓励企业开展分子育种、基因编辑等前沿技术研发，培育具有自主知识产权的新品种。积极争取在庄河海域布局海洋观测、深远海探测等海洋基础研究，为国家、省、大连市海洋科技创新工程提供支撑。探索海洋物联网、智能机器人等前沿领域，重点发展海洋数字经济、海洋药物和生物制品等新兴产业。前瞻布局海底观测、海洋碳汇、深海资源勘探开发利用等海洋未来产业。</w:t>
      </w:r>
    </w:p>
    <w:p>
      <w:pPr>
        <w:pageBreakBefore w:val="0"/>
        <w:widowControl w:val="0"/>
        <w:kinsoku/>
        <w:wordWrap/>
        <w:overflowPunct/>
        <w:topLinePunct w:val="0"/>
        <w:autoSpaceDE/>
        <w:autoSpaceDN/>
        <w:bidi w:val="0"/>
        <w:spacing w:line="600" w:lineRule="exact"/>
        <w:ind w:firstLine="642" w:firstLineChars="200"/>
        <w:jc w:val="both"/>
        <w:textAlignment w:val="auto"/>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pPr>
      <w:r>
        <w:rPr>
          <w:rFonts w:hint="eastAsia"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t>做大做强现代海洋服务业。</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招引饲料研发、病害防治等配套服务企业，重点引进微藻饵料、功能性饲料研发企业，鼓励水产疫苗、生态制剂等生物医药企业落户，构建完整的技术服务体系。大力推动海洋旅游、文化、体育等产业融合发展，以</w:t>
      </w:r>
      <w:r>
        <w:rPr>
          <w:rFonts w:hint="eastAsia" w:ascii="仿宋_GB2312" w:hAnsi="仿宋_GB2312" w:eastAsia="仿宋_GB2312" w:cs="仿宋_GB2312"/>
          <w:b w:val="0"/>
          <w:bCs w:val="0"/>
          <w:strike w:val="0"/>
          <w:dstrike w:val="0"/>
          <w:color w:val="auto"/>
          <w:kern w:val="2"/>
          <w:sz w:val="32"/>
          <w:szCs w:val="32"/>
          <w:highlight w:val="none"/>
          <w:u w:val="none" w:color="auto"/>
          <w:lang w:val="en-US" w:eastAsia="zh-CN" w:bidi="ar-SA"/>
        </w:rPr>
        <w:t>海洋旅游带动全域旅游开发，实现陆海统筹、山海共游，打造东北地区滨海旅游胜地。重点推动庄河湾西侧</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w:t>
      </w:r>
      <w:r>
        <w:rPr>
          <w:rFonts w:hint="eastAsia" w:ascii="仿宋_GB2312" w:hAnsi="仿宋_GB2312" w:eastAsia="仿宋_GB2312" w:cs="仿宋_GB2312"/>
          <w:b w:val="0"/>
          <w:bCs w:val="0"/>
          <w:strike w:val="0"/>
          <w:dstrike w:val="0"/>
          <w:color w:val="auto"/>
          <w:kern w:val="2"/>
          <w:sz w:val="32"/>
          <w:szCs w:val="32"/>
          <w:highlight w:val="none"/>
          <w:u w:val="none" w:color="auto"/>
          <w:lang w:val="en-US" w:eastAsia="zh-CN" w:bidi="ar-SA"/>
        </w:rPr>
        <w:t>滨海路</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w:t>
      </w:r>
      <w:r>
        <w:rPr>
          <w:rFonts w:hint="eastAsia" w:ascii="仿宋_GB2312" w:hAnsi="仿宋_GB2312" w:eastAsia="仿宋_GB2312" w:cs="仿宋_GB2312"/>
          <w:b w:val="0"/>
          <w:bCs w:val="0"/>
          <w:strike w:val="0"/>
          <w:dstrike w:val="0"/>
          <w:color w:val="auto"/>
          <w:kern w:val="2"/>
          <w:sz w:val="32"/>
          <w:szCs w:val="32"/>
          <w:highlight w:val="none"/>
          <w:u w:val="none" w:color="auto"/>
          <w:lang w:val="en-US" w:eastAsia="zh-CN" w:bidi="ar-SA"/>
        </w:rPr>
        <w:t>庄河港一线地区整体改造，打造滨海旅游节点和海鲜餐饮特色商业街。开发“赛事</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w:t>
      </w:r>
      <w:r>
        <w:rPr>
          <w:rFonts w:hint="eastAsia" w:ascii="仿宋_GB2312" w:hAnsi="仿宋_GB2312" w:eastAsia="仿宋_GB2312" w:cs="仿宋_GB2312"/>
          <w:b w:val="0"/>
          <w:bCs w:val="0"/>
          <w:strike w:val="0"/>
          <w:dstrike w:val="0"/>
          <w:color w:val="auto"/>
          <w:kern w:val="2"/>
          <w:sz w:val="32"/>
          <w:szCs w:val="32"/>
          <w:highlight w:val="none"/>
          <w:u w:val="none" w:color="auto"/>
          <w:lang w:val="en-US" w:eastAsia="zh-CN" w:bidi="ar-SA"/>
        </w:rPr>
        <w:t>赶海”特色路线。深入挖掘庄河海洋文化、渔家文化，</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提升市民海洋人文素养和价值认同，打造庄河海洋文化品牌。</w:t>
      </w:r>
    </w:p>
    <w:p>
      <w:pPr>
        <w:pageBreakBefore w:val="0"/>
        <w:widowControl w:val="0"/>
        <w:kinsoku/>
        <w:wordWrap/>
        <w:overflowPunct/>
        <w:topLinePunct w:val="0"/>
        <w:autoSpaceDE/>
        <w:autoSpaceDN/>
        <w:bidi w:val="0"/>
        <w:spacing w:line="600" w:lineRule="exact"/>
        <w:ind w:firstLine="642" w:firstLineChars="200"/>
        <w:jc w:val="both"/>
        <w:textAlignment w:val="auto"/>
        <w:rPr>
          <w:rFonts w:hint="eastAsia" w:ascii="仿宋_GB2312" w:hAnsi="仿宋_GB2312" w:eastAsia="仿宋_GB2312" w:cs="仿宋_GB2312"/>
          <w:b w:val="0"/>
          <w:bCs w:val="0"/>
          <w:strike w:val="0"/>
          <w:dstrike w:val="0"/>
          <w:color w:val="auto"/>
          <w:kern w:val="2"/>
          <w:sz w:val="32"/>
          <w:szCs w:val="32"/>
          <w:highlight w:val="none"/>
          <w:u w:val="none" w:color="auto"/>
          <w:lang w:val="en-US" w:eastAsia="zh-CN" w:bidi="ar-SA"/>
        </w:rPr>
      </w:pPr>
      <w:r>
        <w:rPr>
          <w:rFonts w:hint="eastAsia"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t>强化海洋治理与管理保障。</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加强海域资源调查与评估，运用卫星遥感、无人机航拍、海洋探测等技术手段，定期开展全面的海域资源调查与评估工作，建立海域资源数据库，合理确定海洋资源的开发强度和时序。</w:t>
      </w:r>
      <w:r>
        <w:rPr>
          <w:rFonts w:hint="eastAsia" w:ascii="仿宋_GB2312" w:hAnsi="仿宋_GB2312" w:eastAsia="仿宋_GB2312" w:cs="仿宋_GB2312"/>
          <w:b w:val="0"/>
          <w:bCs w:val="0"/>
          <w:strike w:val="0"/>
          <w:dstrike w:val="0"/>
          <w:color w:val="auto"/>
          <w:kern w:val="2"/>
          <w:sz w:val="32"/>
          <w:szCs w:val="32"/>
          <w:highlight w:val="none"/>
          <w:u w:val="none" w:color="auto"/>
          <w:lang w:val="en-US" w:eastAsia="zh-CN" w:bidi="ar-SA"/>
        </w:rPr>
        <w:t>建立健全海域使用权转让、出租、抵押等动态管理制度，加大对海洋执法队伍的投入。升级完善涉海渔船智能管理系统，提升管理智能化水平。推动所有渔船规范纳入行业协会、合作社等组织，实现统一管理和服务。</w:t>
      </w:r>
      <w:r>
        <w:rPr>
          <w:rFonts w:hint="eastAsia" w:ascii="仿宋_GB2312" w:hAnsi="仿宋_GB2312" w:eastAsia="仿宋_GB2312" w:cs="仿宋_GB2312"/>
          <w:color w:val="auto"/>
          <w:sz w:val="32"/>
          <w:szCs w:val="32"/>
          <w:highlight w:val="none"/>
        </w:rPr>
        <w:t>加快推进渔船“木改钢”和减船转产，不断提升本质安全水平。</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2" w:hRule="atLeast"/>
        </w:trPr>
        <w:tc>
          <w:tcPr>
            <w:tcW w:w="9400" w:type="dxa"/>
          </w:tcPr>
          <w:p>
            <w:pPr>
              <w:jc w:val="center"/>
              <w:rPr>
                <w:rFonts w:hint="eastAsia" w:ascii="黑体" w:hAnsi="黑体" w:eastAsia="黑体" w:cs="黑体"/>
                <w:strike w:val="0"/>
                <w:dstrike w:val="0"/>
                <w:color w:val="auto"/>
                <w:sz w:val="24"/>
                <w:szCs w:val="24"/>
                <w:highlight w:val="none"/>
                <w:u w:val="none" w:color="auto"/>
                <w:lang w:val="en-US" w:eastAsia="zh-CN"/>
              </w:rPr>
            </w:pPr>
            <w:r>
              <w:rPr>
                <w:rFonts w:hint="eastAsia" w:ascii="黑体" w:hAnsi="黑体" w:eastAsia="黑体" w:cs="黑体"/>
                <w:strike w:val="0"/>
                <w:dstrike w:val="0"/>
                <w:color w:val="auto"/>
                <w:sz w:val="24"/>
                <w:szCs w:val="24"/>
                <w:highlight w:val="none"/>
                <w:u w:val="none" w:color="auto"/>
                <w:lang w:val="en-US" w:eastAsia="zh-CN"/>
              </w:rPr>
              <w:t>专栏5 海洋经济重点工程</w:t>
            </w:r>
          </w:p>
          <w:p>
            <w:pPr>
              <w:keepNext w:val="0"/>
              <w:keepLines w:val="0"/>
              <w:pageBreakBefore w:val="0"/>
              <w:widowControl w:val="0"/>
              <w:kinsoku/>
              <w:wordWrap/>
              <w:overflowPunct/>
              <w:topLinePunct w:val="0"/>
              <w:bidi w:val="0"/>
              <w:adjustRightInd/>
              <w:snapToGrid/>
              <w:spacing w:line="400" w:lineRule="exact"/>
              <w:textAlignment w:val="auto"/>
              <w:rPr>
                <w:rFonts w:hint="eastAsia"/>
                <w:strike w:val="0"/>
                <w:dstrike w:val="0"/>
                <w:color w:val="auto"/>
                <w:highlight w:val="none"/>
                <w:u w:val="none" w:color="auto"/>
                <w:lang w:val="en-US" w:eastAsia="zh-CN"/>
              </w:rPr>
            </w:pPr>
          </w:p>
          <w:p>
            <w:pPr>
              <w:keepNext w:val="0"/>
              <w:keepLines w:val="0"/>
              <w:pageBreakBefore w:val="0"/>
              <w:widowControl w:val="0"/>
              <w:kinsoku/>
              <w:wordWrap/>
              <w:overflowPunct/>
              <w:topLinePunct w:val="0"/>
              <w:bidi w:val="0"/>
              <w:adjustRightInd/>
              <w:snapToGrid/>
              <w:spacing w:line="400" w:lineRule="exact"/>
              <w:ind w:firstLine="421" w:firstLineChars="200"/>
              <w:textAlignment w:val="auto"/>
              <w:rPr>
                <w:rFonts w:hint="eastAsia" w:asciiTheme="minorEastAsia" w:hAnsiTheme="minorEastAsia" w:eastAsiaTheme="minorEastAsia" w:cstheme="minorEastAsia"/>
                <w:b w:val="0"/>
                <w:bCs w:val="0"/>
                <w:strike w:val="0"/>
                <w:dstrike w:val="0"/>
                <w:color w:val="auto"/>
                <w:highlight w:val="none"/>
                <w:u w:val="none" w:color="auto"/>
                <w:lang w:val="en-US" w:eastAsia="zh-CN"/>
              </w:rPr>
            </w:pPr>
            <w:r>
              <w:rPr>
                <w:rFonts w:hint="eastAsia" w:asciiTheme="minorEastAsia" w:hAnsiTheme="minorEastAsia" w:cstheme="minorEastAsia"/>
                <w:b/>
                <w:bCs/>
                <w:strike w:val="0"/>
                <w:dstrike w:val="0"/>
                <w:color w:val="auto"/>
                <w:highlight w:val="none"/>
                <w:u w:val="none" w:color="auto"/>
                <w:lang w:val="en-US" w:eastAsia="zh-CN"/>
              </w:rPr>
              <w:t>大连北黄海渔业经济区项目一期工程：</w:t>
            </w:r>
            <w:r>
              <w:rPr>
                <w:rFonts w:hint="eastAsia" w:asciiTheme="minorEastAsia" w:hAnsiTheme="minorEastAsia" w:cstheme="minorEastAsia"/>
                <w:b w:val="0"/>
                <w:bCs w:val="0"/>
                <w:strike w:val="0"/>
                <w:dstrike w:val="0"/>
                <w:color w:val="auto"/>
                <w:highlight w:val="none"/>
                <w:u w:val="none" w:color="auto"/>
                <w:lang w:val="en-US" w:eastAsia="zh-CN"/>
              </w:rPr>
              <w:t>水域工程包括码头、防波堤、护岸加固以及港池疏浚等;陆域工程包括</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临港服务区和部分产业加工区，</w:t>
            </w:r>
            <w:r>
              <w:rPr>
                <w:rFonts w:hint="eastAsia" w:asciiTheme="minorEastAsia" w:hAnsiTheme="minorEastAsia" w:cstheme="minorEastAsia"/>
                <w:b w:val="0"/>
                <w:bCs w:val="0"/>
                <w:strike w:val="0"/>
                <w:dstrike w:val="0"/>
                <w:color w:val="auto"/>
                <w:highlight w:val="none"/>
                <w:u w:val="none" w:color="auto"/>
                <w:lang w:val="en-US" w:eastAsia="zh-CN"/>
              </w:rPr>
              <w:t>主要建设</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临港交易大厅、初加工车间、综合加工车间、物资库、储冰库、污水站、道路、地基处理、管网等相关基础设施。</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asciiTheme="minorHAnsi" w:eastAsiaTheme="minorEastAsia"/>
                <w:b w:val="0"/>
                <w:bCs w:val="0"/>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highlight w:val="none"/>
                <w:u w:val="none" w:color="auto"/>
                <w:lang w:val="en-US" w:eastAsia="zh-CN"/>
              </w:rPr>
              <w:t>海洋学科建设和专业人才培育工程：</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依托大学城，加强海洋学科建设。</w:t>
            </w:r>
          </w:p>
        </w:tc>
      </w:tr>
    </w:tbl>
    <w:p>
      <w:pPr>
        <w:pStyle w:val="4"/>
        <w:bidi w:val="0"/>
        <w:rPr>
          <w:rFonts w:hint="eastAsia"/>
          <w:strike w:val="0"/>
          <w:dstrike w:val="0"/>
          <w:color w:val="auto"/>
          <w:sz w:val="32"/>
          <w:szCs w:val="32"/>
          <w:highlight w:val="none"/>
          <w:u w:val="none" w:color="auto"/>
          <w:lang w:val="en-US" w:eastAsia="zh-CN"/>
        </w:rPr>
      </w:pPr>
      <w:bookmarkStart w:id="131" w:name="_Toc1250750202"/>
      <w:r>
        <w:rPr>
          <w:rFonts w:hint="eastAsia"/>
          <w:strike w:val="0"/>
          <w:dstrike w:val="0"/>
          <w:color w:val="auto"/>
          <w:sz w:val="32"/>
          <w:szCs w:val="32"/>
          <w:highlight w:val="none"/>
          <w:u w:val="none" w:color="auto"/>
          <w:lang w:val="en-US" w:eastAsia="zh-CN"/>
        </w:rPr>
        <w:t>第五节 筑牢海洋蓝色生态屏障</w:t>
      </w:r>
      <w:bookmarkEnd w:id="131"/>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加强海洋生态保护与系统治理。</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严格管控围填海活动，加强海岛生态修复与整治，重点整治生态环境脆弱海岛，协同推进近岸海域污染防治、生态保护修复和岸滩环境整治，持续挖掘“小而美”美丽（涉海）打卡点。着力推动庄河湾美丽海湾保护与建设，加快青堆湾区域内的海水养殖、畜禽养殖、农业和生活污染的系统治理。强化入河排污口监督管理和治理提升，以入海河流总氮治理管控为抓手，持续加强陆源污染防控。推动青堆子湾流域英那河、湖里河、地窨河、板桥河4</w:t>
      </w:r>
      <w:r>
        <w:rPr>
          <w:rFonts w:hint="eastAsia"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t>条</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入海河流入海口潮沟清淤疏浚。加大海洋环境执法力度，严厉打击违法排污、破坏海洋生态环境等行为。到2030年，海水养殖污染和陆源入海污染得到有效管控，近岸海域水质优良率力争达到90%以上。</w:t>
      </w:r>
    </w:p>
    <w:p>
      <w:pPr>
        <w:pStyle w:val="3"/>
        <w:pageBreakBefore w:val="0"/>
        <w:widowControl w:val="0"/>
        <w:kinsoku/>
        <w:wordWrap/>
        <w:overflowPunct/>
        <w:topLinePunct w:val="0"/>
        <w:autoSpaceDE/>
        <w:autoSpaceDN/>
        <w:bidi w:val="0"/>
        <w:spacing w:line="600" w:lineRule="exact"/>
        <w:textAlignment w:val="auto"/>
        <w:rPr>
          <w:rFonts w:hint="default" w:ascii="宋体" w:hAnsi="宋体" w:eastAsia="黑体" w:cs="Times New Roman"/>
          <w:strike w:val="0"/>
          <w:dstrike w:val="0"/>
          <w:color w:val="auto"/>
          <w:sz w:val="32"/>
          <w:szCs w:val="32"/>
          <w:highlight w:val="none"/>
          <w:u w:val="none" w:color="auto"/>
          <w:shd w:val="clear" w:color="auto" w:fill="auto"/>
          <w:lang w:val="en-US" w:eastAsia="zh-CN"/>
        </w:rPr>
      </w:pPr>
      <w:bookmarkStart w:id="132" w:name="_Toc251746977"/>
      <w:r>
        <w:rPr>
          <w:rFonts w:hint="eastAsia"/>
          <w:strike w:val="0"/>
          <w:dstrike w:val="0"/>
          <w:color w:val="auto"/>
          <w:sz w:val="32"/>
          <w:szCs w:val="32"/>
          <w:highlight w:val="none"/>
          <w:u w:val="none" w:color="auto"/>
          <w:shd w:val="clear" w:color="auto" w:fill="auto"/>
          <w:lang w:val="en-US" w:eastAsia="zh-CN"/>
        </w:rPr>
        <w:t>第九章 促进城乡融合，统筹推进新型城镇化和乡村全面振兴</w:t>
      </w:r>
      <w:bookmarkEnd w:id="132"/>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围绕城镇化动力不足、县域经济综合实力不强、农业现代化水平有待提升、城乡发展差距仍然较大等问题，统筹新型城镇化和乡村全面振兴，全面提高城乡规划、建设、治理水平，推动城乡要素平等交换、双向流动，缩小城乡差距，促进城乡共同繁荣发展。</w:t>
      </w:r>
    </w:p>
    <w:p>
      <w:pPr>
        <w:pStyle w:val="4"/>
        <w:pageBreakBefore w:val="0"/>
        <w:widowControl w:val="0"/>
        <w:kinsoku/>
        <w:wordWrap/>
        <w:overflowPunct/>
        <w:topLinePunct w:val="0"/>
        <w:autoSpaceDE/>
        <w:autoSpaceDN/>
        <w:bidi w:val="0"/>
        <w:spacing w:line="600" w:lineRule="exact"/>
        <w:textAlignment w:val="auto"/>
        <w:rPr>
          <w:rFonts w:hint="default"/>
          <w:strike w:val="0"/>
          <w:dstrike w:val="0"/>
          <w:color w:val="auto"/>
          <w:sz w:val="32"/>
          <w:szCs w:val="32"/>
          <w:highlight w:val="none"/>
          <w:u w:val="none" w:color="auto"/>
          <w:shd w:val="clear" w:color="auto" w:fill="auto"/>
          <w:lang w:val="en-US" w:eastAsia="zh-CN"/>
        </w:rPr>
      </w:pPr>
      <w:bookmarkStart w:id="133" w:name="_Toc84829923"/>
      <w:r>
        <w:rPr>
          <w:rFonts w:hint="eastAsia"/>
          <w:strike w:val="0"/>
          <w:dstrike w:val="0"/>
          <w:color w:val="auto"/>
          <w:sz w:val="32"/>
          <w:szCs w:val="32"/>
          <w:highlight w:val="none"/>
          <w:u w:val="none" w:color="auto"/>
          <w:shd w:val="clear" w:color="auto" w:fill="auto"/>
          <w:lang w:val="en-US" w:eastAsia="zh-CN"/>
        </w:rPr>
        <w:t>第一节 深入推进以人为本的新型城镇化建设</w:t>
      </w:r>
      <w:bookmarkEnd w:id="133"/>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实施新一轮农业转移人口市民化行动。</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试行以经常居住地登记户口制度，积极做好电子居住证推广和应用。</w:t>
      </w:r>
      <w:r>
        <w:rPr>
          <w:rFonts w:hint="default" w:ascii="仿宋_GB2312" w:hAnsi="仿宋_GB2312" w:eastAsia="仿宋_GB2312" w:cs="仿宋_GB2312"/>
          <w:strike w:val="0"/>
          <w:dstrike w:val="0"/>
          <w:color w:val="auto"/>
          <w:sz w:val="32"/>
          <w:szCs w:val="32"/>
          <w:highlight w:val="none"/>
          <w:u w:val="none" w:color="auto"/>
          <w:shd w:val="clear" w:color="auto" w:fill="auto"/>
          <w:lang w:val="en-US" w:eastAsia="zh-CN"/>
        </w:rPr>
        <w:t>推动城镇基本公共服务覆盖全部常住人口</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符合条件的农业转移人口在教育、居住、就业、医疗等方面与城镇居民享有同等权利、履行同等义务。促进在城镇稳定就业生活的农业转移人口举家进城落户，优化集体户落户政策，建立集体户成员申领居民户口簿制度。</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default"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default" w:ascii="仿宋_GB2312" w:hAnsi="仿宋_GB2312" w:eastAsia="仿宋_GB2312" w:cs="仿宋_GB2312"/>
          <w:b/>
          <w:bCs/>
          <w:strike w:val="0"/>
          <w:dstrike w:val="0"/>
          <w:color w:val="auto"/>
          <w:sz w:val="32"/>
          <w:szCs w:val="32"/>
          <w:highlight w:val="none"/>
          <w:u w:val="none" w:color="auto"/>
          <w:shd w:val="clear" w:color="auto" w:fill="auto"/>
          <w:lang w:val="en-US" w:eastAsia="zh-CN"/>
        </w:rPr>
        <w:t>促进农业转移人口在城镇稳定就业。</w:t>
      </w:r>
      <w:r>
        <w:rPr>
          <w:rFonts w:hint="default" w:ascii="仿宋_GB2312" w:hAnsi="仿宋_GB2312" w:eastAsia="仿宋_GB2312" w:cs="仿宋_GB2312"/>
          <w:strike w:val="0"/>
          <w:dstrike w:val="0"/>
          <w:color w:val="auto"/>
          <w:sz w:val="32"/>
          <w:szCs w:val="32"/>
          <w:highlight w:val="none"/>
          <w:u w:val="none" w:color="auto"/>
          <w:shd w:val="clear" w:color="auto" w:fill="auto"/>
          <w:lang w:val="en-US" w:eastAsia="zh-CN"/>
        </w:rPr>
        <w:t>接续开展根治欠薪“四季”行动，推进“一金三制”等制度落实。深化劳动人事争议协商调解，健全“连众调”创新机制，推广“调解</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w:t>
      </w:r>
      <w:r>
        <w:rPr>
          <w:rFonts w:hint="default" w:ascii="仿宋_GB2312" w:hAnsi="仿宋_GB2312" w:eastAsia="仿宋_GB2312" w:cs="仿宋_GB2312"/>
          <w:strike w:val="0"/>
          <w:dstrike w:val="0"/>
          <w:color w:val="auto"/>
          <w:sz w:val="32"/>
          <w:szCs w:val="32"/>
          <w:highlight w:val="none"/>
          <w:u w:val="none" w:color="auto"/>
          <w:shd w:val="clear" w:color="auto" w:fill="auto"/>
          <w:lang w:val="en-US" w:eastAsia="zh-CN"/>
        </w:rPr>
        <w:t>仲裁</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w:t>
      </w:r>
      <w:r>
        <w:rPr>
          <w:rFonts w:hint="default" w:ascii="仿宋_GB2312" w:hAnsi="仿宋_GB2312" w:eastAsia="仿宋_GB2312" w:cs="仿宋_GB2312"/>
          <w:strike w:val="0"/>
          <w:dstrike w:val="0"/>
          <w:color w:val="auto"/>
          <w:sz w:val="32"/>
          <w:szCs w:val="32"/>
          <w:highlight w:val="none"/>
          <w:u w:val="none" w:color="auto"/>
          <w:shd w:val="clear" w:color="auto" w:fill="auto"/>
          <w:lang w:val="en-US" w:eastAsia="zh-CN"/>
        </w:rPr>
        <w:t>诉讼”的多元化解模式</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w:t>
      </w:r>
      <w:r>
        <w:rPr>
          <w:rFonts w:hint="default" w:ascii="仿宋_GB2312" w:hAnsi="仿宋_GB2312" w:eastAsia="仿宋_GB2312" w:cs="仿宋_GB2312"/>
          <w:strike w:val="0"/>
          <w:dstrike w:val="0"/>
          <w:color w:val="auto"/>
          <w:sz w:val="32"/>
          <w:szCs w:val="32"/>
          <w:highlight w:val="none"/>
          <w:u w:val="none" w:color="auto"/>
          <w:shd w:val="clear" w:color="auto" w:fill="auto"/>
          <w:lang w:val="en-US" w:eastAsia="zh-CN"/>
        </w:rPr>
        <w:t>提升调解员素质。定期培训调解员，提升法律知识和调解技巧</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w:t>
      </w:r>
      <w:r>
        <w:rPr>
          <w:rFonts w:hint="default" w:ascii="仿宋_GB2312" w:hAnsi="仿宋_GB2312" w:eastAsia="仿宋_GB2312" w:cs="仿宋_GB2312"/>
          <w:strike w:val="0"/>
          <w:dstrike w:val="0"/>
          <w:color w:val="auto"/>
          <w:sz w:val="32"/>
          <w:szCs w:val="32"/>
          <w:highlight w:val="none"/>
          <w:u w:val="none" w:color="auto"/>
          <w:shd w:val="clear" w:color="auto" w:fill="auto"/>
          <w:lang w:val="en-US" w:eastAsia="zh-CN"/>
        </w:rPr>
        <w:t>加大工会实名制就业工作力度，帮助转岗待岗职工、农民工等重点群体精准对接就业岗位。</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健全进城落户农民农村权益维护政策。</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依法依规推进农村不动产确权登记工作。坚持不变不换的原则，简化办事流程，加强宣传培训，提升登记效率。</w:t>
      </w:r>
      <w:r>
        <w:rPr>
          <w:rFonts w:hint="default" w:ascii="仿宋_GB2312" w:hAnsi="仿宋_GB2312" w:eastAsia="仿宋_GB2312" w:cs="仿宋_GB2312"/>
          <w:strike w:val="0"/>
          <w:dstrike w:val="0"/>
          <w:color w:val="auto"/>
          <w:sz w:val="32"/>
          <w:szCs w:val="32"/>
          <w:highlight w:val="none"/>
          <w:u w:val="none" w:color="auto"/>
          <w:shd w:val="clear" w:color="auto" w:fill="auto"/>
          <w:lang w:val="en-US" w:eastAsia="zh-CN"/>
        </w:rPr>
        <w:t>保障进城落户农民合法土地权益，依法维护进城落户农民的土地承包权、宅基地使用权、集体收益分配权，探索建立自愿有偿</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退出路径。</w:t>
      </w:r>
    </w:p>
    <w:p>
      <w:pPr>
        <w:pStyle w:val="4"/>
        <w:pageBreakBefore w:val="0"/>
        <w:widowControl w:val="0"/>
        <w:kinsoku/>
        <w:wordWrap/>
        <w:overflowPunct/>
        <w:topLinePunct w:val="0"/>
        <w:autoSpaceDE/>
        <w:autoSpaceDN/>
        <w:bidi w:val="0"/>
        <w:spacing w:line="600" w:lineRule="exact"/>
        <w:textAlignment w:val="auto"/>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pPr>
      <w:bookmarkStart w:id="134" w:name="_Toc1348096473"/>
      <w:r>
        <w:rPr>
          <w:rFonts w:hint="eastAsia"/>
          <w:strike w:val="0"/>
          <w:dstrike w:val="0"/>
          <w:color w:val="auto"/>
          <w:sz w:val="32"/>
          <w:szCs w:val="32"/>
          <w:highlight w:val="none"/>
          <w:u w:val="none" w:color="auto"/>
          <w:shd w:val="clear" w:color="auto" w:fill="auto"/>
          <w:lang w:val="en-US" w:eastAsia="zh-CN"/>
        </w:rPr>
        <w:t xml:space="preserve">第二节 </w:t>
      </w:r>
      <w:r>
        <w:rPr>
          <w:rFonts w:hint="eastAsia" w:ascii="Times New Roman" w:hAnsi="Times New Roman" w:eastAsia="楷体_GB2312" w:cs="Arial"/>
          <w:b/>
          <w:bCs/>
          <w:strike w:val="0"/>
          <w:dstrike w:val="0"/>
          <w:color w:val="auto"/>
          <w:sz w:val="32"/>
          <w:szCs w:val="32"/>
          <w:highlight w:val="none"/>
          <w:u w:val="none" w:color="auto"/>
        </w:rPr>
        <w:t>统筹</w:t>
      </w:r>
      <w:r>
        <w:rPr>
          <w:rFonts w:ascii="Times New Roman" w:hAnsi="Times New Roman" w:eastAsia="楷体_GB2312" w:cs="Arial"/>
          <w:b/>
          <w:bCs/>
          <w:strike w:val="0"/>
          <w:dstrike w:val="0"/>
          <w:color w:val="auto"/>
          <w:sz w:val="32"/>
          <w:szCs w:val="32"/>
          <w:highlight w:val="none"/>
          <w:u w:val="none" w:color="auto"/>
        </w:rPr>
        <w:t>城市功能提升和基础设施建设</w:t>
      </w:r>
      <w:bookmarkEnd w:id="134"/>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稳妥推进老旧小区和危险住房改造。</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建立涵盖建成年代、设施状况、居民诉求等内容的全域老旧小区电子档案，重点将2000年前建成未改造小区纳入计划</w:t>
      </w:r>
      <w:r>
        <w:rPr>
          <w:rFonts w:hint="eastAsia" w:ascii="仿宋_GB2312" w:hAnsi="仿宋_GB2312" w:eastAsia="仿宋_GB2312" w:cs="仿宋_GB2312"/>
          <w:strike w:val="0"/>
          <w:dstrike w:val="0"/>
          <w:color w:val="auto"/>
          <w:sz w:val="32"/>
          <w:szCs w:val="32"/>
          <w:highlight w:val="none"/>
          <w:u w:val="none" w:color="auto"/>
          <w:lang w:eastAsia="zh-CN"/>
        </w:rPr>
        <w:t>。更新改造水电气暖等老旧管线，整治楼栋内公共通道、排风烟道与通风井道，全力消除安全隐患。</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支持有条件的楼栋加装电梯，结合安全评估及居民意见推进15年以上老旧电梯安全排查与更新改造。整治小区及周边环境，完善小区停车、充电、消防、通信等配套基础设施，增设助餐、家政等公共服务设施。</w:t>
      </w:r>
      <w:r>
        <w:rPr>
          <w:rFonts w:hint="eastAsia" w:ascii="仿宋_GB2312" w:hAnsi="仿宋_GB2312" w:eastAsia="仿宋_GB2312" w:cs="仿宋_GB2312"/>
          <w:strike w:val="0"/>
          <w:dstrike w:val="0"/>
          <w:color w:val="auto"/>
          <w:sz w:val="32"/>
          <w:szCs w:val="32"/>
          <w:highlight w:val="none"/>
          <w:u w:val="none" w:color="auto"/>
        </w:rPr>
        <w:t>推进适老化、无障碍设施及智慧化改造</w:t>
      </w:r>
      <w:r>
        <w:rPr>
          <w:rFonts w:hint="eastAsia" w:ascii="仿宋_GB2312" w:hAnsi="仿宋_GB2312" w:eastAsia="仿宋_GB2312" w:cs="仿宋_GB2312"/>
          <w:strike w:val="0"/>
          <w:dstrike w:val="0"/>
          <w:color w:val="auto"/>
          <w:sz w:val="32"/>
          <w:szCs w:val="32"/>
          <w:highlight w:val="none"/>
          <w:u w:val="none" w:color="auto"/>
          <w:lang w:eastAsia="zh-CN"/>
        </w:rPr>
        <w:t>。</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完善小区长效管理机制，引导居民共同维护改造成果。持续推进既有居住建筑和公共建筑节能改造，鼓励居民开展城镇住房室内装修。推进城市危旧房安全排查与分类改造。开展C、D级危旧房专项排查，建立智慧档案，分批次纳入改造计划。开展全域城中村普查并建立电子台账，多渠道筹措改造资金，对安全隐患突出、群众需求迫切的区域，采取“成熟一个、启动一个”机制，推动城中村“蝶变”为品质社区。</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加快城市基础设施升级改造。</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加快城市燃气、供水、排水、污水、供热等地下管线管网改造，完善建设运维长效管理制度。完成城乡三个净水厂配水管网改造930公里，降低管网漏损率。加强二次供水设施改造，实现二次供水统一建设、管理、运营。持续推动城市供热清洁低碳，提高智慧化管理水平，推进30年以上老旧管网改造工作。到2030年，实现城市禁燃区内集中供热区域清洁供暖全覆盖，供热面积达1050万平方米。加强燃气供应保障与管网智能化改造，依托大连市北部区市天然气高压（普兰店－庄河）管道项目，降低居民、企业用气成本。增加燃气管网智能监测点800处，提升燃气管网安全水平。对城区管道燃气进行整合，向乡镇提供优质的管道燃气，规范管理并逐步淘汰落后的瓶装燃气场站。推进城区排水防涝设施建设与改造，完善雨污管网系统，对老旧城区、城乡接合部老旧管网、设计标准不足等既有排水设施进行修复改造。定期对排水设施进行巡查，合理安排清淤周期，全面提高排水能力。持续推动路网合理优化，推动中心城区人行天桥建设，进一步提升区域通行效率。</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持续提升城市精细化管理水平。</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加强环卫、道路照明、垃圾和污水处理等市政基础设施建设。对运行时间长、破损程度高的环卫设施进行更新改造。紧密结合城市发展实际，针对性优化废物箱、公厕、除雪车辆、垃圾压缩站、环卫工人作息场所等环卫设施的配置数量与空间分布。探索建立并健全建筑垃圾“分类－运输－转运调配－处置”闭环管理机制，提升资源化利用水平。稳慎推进城市生活垃圾处理费征收。</w:t>
      </w:r>
      <w:r>
        <w:rPr>
          <w:rFonts w:hint="eastAsia" w:ascii="仿宋_GB2312" w:hAnsi="仿宋_GB2312" w:eastAsia="仿宋_GB2312" w:cs="仿宋_GB2312"/>
          <w:strike w:val="0"/>
          <w:dstrike w:val="0"/>
          <w:color w:val="auto"/>
          <w:sz w:val="32"/>
          <w:szCs w:val="32"/>
          <w:highlight w:val="none"/>
          <w:u w:val="none" w:color="auto"/>
          <w:lang w:val="en-US" w:eastAsia="zh-CN"/>
        </w:rPr>
        <w:t>启动城东污水处理厂二期项目。开展路灯智能化改造</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全面排查城市基础设施风险隐患，积极稳步推进“平急两用”公共基础设施建设。统筹防洪排涝、防震减灾、人民防空等领域应急避险场所建设管理，全面提升城市综合承载能力和灾害防御能力，打造韧性城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开展“全龄共享”完整社区建设。</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完善社区公共服务与公共活动空间，优先配齐购物、餐饮、家政、快递、维修等基本保障类业态，发展文化、娱乐、职介、休闲、社交、康养、健身等品质提升类业态，建设安全健康、设施完善、管理有序的完整社区。开展城市社区嵌入式服务设施建设，提供一站式便民服务，支持养老、托育、家政、助餐、助残等普惠性社会服务进社区。补齐公共服务设施短板，优化综合服务设施布局，公共不动产资源优先用于发展社区嵌入式服务。支持机关、企事业单位将闲置用地和用房向社区开放，实现共建共享。</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200" w:firstLineChars="200"/>
        <w:jc w:val="both"/>
        <w:textAlignment w:val="auto"/>
        <w:rPr>
          <w:rFonts w:hint="eastAsia" w:ascii="仿宋_GB2312" w:hAnsi="仿宋_GB2312" w:eastAsia="仿宋_GB2312" w:cs="仿宋_GB2312"/>
          <w:strike w:val="0"/>
          <w:dstrike w:val="0"/>
          <w:color w:val="auto"/>
          <w:sz w:val="10"/>
          <w:szCs w:val="10"/>
          <w:highlight w:val="none"/>
          <w:u w:val="none" w:color="auto"/>
          <w:shd w:val="clear" w:color="auto" w:fill="auto"/>
          <w:lang w:val="en-US" w:eastAsia="zh-CN"/>
        </w:rPr>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00" w:type="dxa"/>
          </w:tcPr>
          <w:p>
            <w:pPr>
              <w:jc w:val="center"/>
              <w:rPr>
                <w:rFonts w:hint="eastAsia" w:ascii="黑体" w:hAnsi="黑体" w:eastAsia="黑体" w:cs="黑体"/>
                <w:strike w:val="0"/>
                <w:dstrike w:val="0"/>
                <w:color w:val="auto"/>
                <w:sz w:val="24"/>
                <w:szCs w:val="24"/>
                <w:highlight w:val="none"/>
                <w:u w:val="none" w:color="auto"/>
                <w:lang w:val="en-US" w:eastAsia="zh-CN"/>
              </w:rPr>
            </w:pPr>
            <w:r>
              <w:rPr>
                <w:rFonts w:hint="eastAsia" w:ascii="黑体" w:hAnsi="黑体" w:eastAsia="黑体" w:cs="黑体"/>
                <w:strike w:val="0"/>
                <w:dstrike w:val="0"/>
                <w:color w:val="auto"/>
                <w:sz w:val="24"/>
                <w:szCs w:val="24"/>
                <w:highlight w:val="none"/>
                <w:u w:val="none" w:color="auto"/>
                <w:lang w:val="en-US" w:eastAsia="zh-CN"/>
              </w:rPr>
              <w:t>专栏6 城市更新重点工程</w:t>
            </w:r>
          </w:p>
          <w:p>
            <w:pPr>
              <w:keepNext w:val="0"/>
              <w:keepLines w:val="0"/>
              <w:pageBreakBefore w:val="0"/>
              <w:widowControl w:val="0"/>
              <w:kinsoku/>
              <w:wordWrap/>
              <w:overflowPunct/>
              <w:topLinePunct w:val="0"/>
              <w:bidi w:val="0"/>
              <w:adjustRightInd/>
              <w:snapToGrid/>
              <w:spacing w:line="400" w:lineRule="exact"/>
              <w:textAlignment w:val="auto"/>
              <w:rPr>
                <w:rFonts w:hint="eastAsia"/>
                <w:strike w:val="0"/>
                <w:dstrike w:val="0"/>
                <w:color w:val="auto"/>
                <w:highlight w:val="none"/>
                <w:u w:val="none" w:color="auto"/>
                <w:lang w:val="en-US" w:eastAsia="zh-CN"/>
              </w:rPr>
            </w:pP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asciiTheme="minorEastAsia" w:hAnsiTheme="minorEastAsia" w:eastAsiaTheme="minorEastAsia" w:cstheme="minorEastAsia"/>
                <w:b w:val="0"/>
                <w:bCs w:val="0"/>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highlight w:val="none"/>
                <w:u w:val="none" w:color="auto"/>
                <w:lang w:val="en-US" w:eastAsia="zh-CN"/>
              </w:rPr>
              <w:t>老旧小区改造扩面提质工程：</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开展全域老旧小区普查，推进适老化、无障碍设施及智慧化改造。</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asciiTheme="minorEastAsia" w:hAnsiTheme="minorEastAsia" w:eastAsiaTheme="minorEastAsia" w:cstheme="minorEastAsia"/>
                <w:b w:val="0"/>
                <w:bCs w:val="0"/>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highlight w:val="none"/>
                <w:u w:val="none" w:color="auto"/>
                <w:lang w:val="en-US" w:eastAsia="zh-CN"/>
              </w:rPr>
              <w:t>老旧电梯安全排查与更新改造工程：</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开展15年以上老旧电梯专项普查，结合安全评估及居民意见推进更新改造。争取超长期特别国债、中央预算内资金支持，推进庄河市</w:t>
            </w:r>
            <w:r>
              <w:rPr>
                <w:rFonts w:hint="eastAsia" w:asciiTheme="minorEastAsia" w:hAnsiTheme="minorEastAsia" w:cstheme="minorEastAsia"/>
                <w:b w:val="0"/>
                <w:bCs w:val="0"/>
                <w:strike w:val="0"/>
                <w:dstrike w:val="0"/>
                <w:color w:val="auto"/>
                <w:highlight w:val="none"/>
                <w:u w:val="none" w:color="auto"/>
                <w:lang w:val="en-US" w:eastAsia="zh-CN"/>
              </w:rPr>
              <w:t>“</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十五五</w:t>
            </w:r>
            <w:r>
              <w:rPr>
                <w:rFonts w:hint="eastAsia" w:asciiTheme="minorEastAsia" w:hAnsiTheme="minorEastAsia" w:cstheme="minorEastAsia"/>
                <w:b w:val="0"/>
                <w:bCs w:val="0"/>
                <w:strike w:val="0"/>
                <w:dstrike w:val="0"/>
                <w:color w:val="auto"/>
                <w:highlight w:val="none"/>
                <w:u w:val="none" w:color="auto"/>
                <w:lang w:val="en-US" w:eastAsia="zh-CN"/>
              </w:rPr>
              <w:t>”</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期间老旧电梯更新改造项目。</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asciiTheme="minorEastAsia" w:hAnsiTheme="minorEastAsia" w:eastAsiaTheme="minorEastAsia" w:cstheme="minorEastAsia"/>
                <w:b w:val="0"/>
                <w:bCs w:val="0"/>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highlight w:val="none"/>
                <w:u w:val="none" w:color="auto"/>
                <w:lang w:val="en-US" w:eastAsia="zh-CN"/>
              </w:rPr>
              <w:t>燃气管网改造工程：</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庄河市老旧小区燃气改造、庄河市旧户燃气管道改造。</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asciiTheme="minorEastAsia" w:hAnsiTheme="minorEastAsia" w:eastAsiaTheme="minorEastAsia" w:cstheme="minorEastAsia"/>
                <w:b w:val="0"/>
                <w:bCs w:val="0"/>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highlight w:val="none"/>
                <w:u w:val="none" w:color="auto"/>
                <w:lang w:val="en-US" w:eastAsia="zh-CN"/>
              </w:rPr>
              <w:t>排水工程：</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庄河市主城区积水易涝点排水防涝管网更新改造工程。</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asciiTheme="minorEastAsia" w:hAnsiTheme="minorEastAsia" w:eastAsiaTheme="minorEastAsia" w:cstheme="minorEastAsia"/>
                <w:b w:val="0"/>
                <w:bCs w:val="0"/>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highlight w:val="none"/>
                <w:u w:val="none" w:color="auto"/>
                <w:lang w:val="en-US" w:eastAsia="zh-CN"/>
              </w:rPr>
              <w:t>污水工程：</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启动城东污水处理厂二期项目，有效缓解庄河东部区域污水管线水位过高问题，进一步提高城市污水处理能力。</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asciiTheme="minorEastAsia" w:hAnsiTheme="minorEastAsia" w:cstheme="minorEastAsia"/>
                <w:b w:val="0"/>
                <w:bCs w:val="0"/>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highlight w:val="none"/>
                <w:u w:val="none" w:color="auto"/>
                <w:lang w:val="en-US" w:eastAsia="zh-CN"/>
              </w:rPr>
              <w:t>生活垃圾分类体系建设：</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将城区投放点改造为“智能＋督导”点，配备积分兑换功能，合理布局分类投放设施，居民生活区分类设施普及率达到98%以上，公共场所和公共区域达到95%以上</w:t>
            </w:r>
            <w:r>
              <w:rPr>
                <w:rFonts w:hint="eastAsia" w:asciiTheme="minorEastAsia" w:hAnsiTheme="minorEastAsia" w:cstheme="minorEastAsia"/>
                <w:b w:val="0"/>
                <w:bCs w:val="0"/>
                <w:strike w:val="0"/>
                <w:dstrike w:val="0"/>
                <w:color w:val="auto"/>
                <w:highlight w:val="none"/>
                <w:u w:val="none" w:color="auto"/>
                <w:lang w:val="en-US" w:eastAsia="zh-CN"/>
              </w:rPr>
              <w:t>。</w:t>
            </w:r>
          </w:p>
        </w:tc>
      </w:tr>
    </w:tbl>
    <w:p>
      <w:pPr>
        <w:pStyle w:val="4"/>
        <w:pageBreakBefore w:val="0"/>
        <w:widowControl w:val="0"/>
        <w:kinsoku/>
        <w:wordWrap/>
        <w:overflowPunct/>
        <w:topLinePunct w:val="0"/>
        <w:autoSpaceDE/>
        <w:autoSpaceDN/>
        <w:bidi w:val="0"/>
        <w:spacing w:line="600" w:lineRule="exact"/>
        <w:textAlignment w:val="auto"/>
        <w:rPr>
          <w:rFonts w:hint="default"/>
          <w:strike w:val="0"/>
          <w:dstrike w:val="0"/>
          <w:color w:val="auto"/>
          <w:highlight w:val="none"/>
          <w:u w:val="none" w:color="auto"/>
          <w:shd w:val="clear" w:color="auto" w:fill="auto"/>
          <w:lang w:val="en-US" w:eastAsia="zh-CN"/>
        </w:rPr>
      </w:pPr>
      <w:bookmarkStart w:id="135" w:name="_Toc2107147788"/>
      <w:r>
        <w:rPr>
          <w:rFonts w:hint="eastAsia"/>
          <w:strike w:val="0"/>
          <w:dstrike w:val="0"/>
          <w:color w:val="auto"/>
          <w:highlight w:val="none"/>
          <w:u w:val="none" w:color="auto"/>
          <w:shd w:val="clear" w:color="auto" w:fill="auto"/>
          <w:lang w:val="en-US" w:eastAsia="zh-CN"/>
        </w:rPr>
        <w:t>第三节 提升农业综合生产能力和质量效益</w:t>
      </w:r>
      <w:bookmarkEnd w:id="135"/>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全方位夯实粮食安全根基。</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把确保国家粮食安全作为现代农业建设的首要任务，全面落实粮食安全党政同责，坚持稳面积、增单产两手发力，做到有序的粮食生产、稳定的粮食供给和充足的粮食储备。落实“藏粮于地、藏粮于技”战略，坚决守牢耕地保护红线，落实永久基本农田特殊保护制度，确保180万亩基本农田数量不减少、质量有提升，耕地保有量稳定在200.8万亩以上。实施新一轮粮食产能提升行动，集成推广测土配方施肥、病虫害绿色防控、机械化精量播种等技术。到2030年，粮食平均单产较2025年提升5%，播种面积稳定在148万亩以上，年产量持续稳定在11亿斤以上。统筹做好粮食市场化收购和政策性收储，完善中央储备为主、地方储备为辅、企业社会责任储备为补充的粮食储备体系，健全储备管理制度，加强应急保供能力建设。到2030年，新建和改造仓房100%符合绿色储粮标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推进农业固本强基与科技赋能。</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高质量推进高标准农田提质扩面，健全“建设－验收－管护”全链条闭环机制。推进设施种养业建设，完善仓储、物流等设施。提升农业生产防灾减灾救灾能力，加强气象灾害监测预警防控。实施动植物保护工程，健全农作物病虫害防治和动物防疫体系。加强设施农业科技支撑，与科研院所合作开展设施农业专用品种选育和栽培技术研究。通过设施升级和技术创新，实现果蔬单产提高10%以上，优质果品率提升15%，有效延长农产品供应期。加快种业振兴，重点支持大骨鸡等种源培育保护，加快核心种源技术攻关。实施农机装备补短板行动，提高农业机械化、设施化、智能化水平，加快老旧农机报废更新和绿色技术装备应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培育壮大特色农业产业。</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做好“土特产”文章，发展乡村种养业、加工流通业、休闲旅游业、乡村服务业。实施农业品牌提升行动，围绕杂色蛤、牡蛎、河豚鱼等特色水产，苹果、大樱桃等精品水果，大骨鸡、水貂等特色养殖，以及滑子蘑、大米等农产品，加大品牌培育力度，提升农产品竞争力和影响力。加强国家地理标志农产品认定与管理，扩大并提升蓝莓、草莓等地标品牌影响力。通过参加国内、国际农产品展销会，借助电商平台等渠道，将优质农产品推向市场，提升庄河农产品的知名度和市场份额。</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深化农村一二三产业融合发展。</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拓展农业功能，与旅游、文化、教育、康养、体育等深度融合，有序发展农事体验等新业态，探索休闲旅游、田园社区融合发展方式。到2030年，培育10个三产融合园区，农产品加工转化率达到70%以上，休闲农业年接待游客突破200万人次，构建全产业链增值、多业态共赢的融合发展新格局。实施农村电商高质量发展工程，研究布局建设城郊大仓基地。</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统筹推进现代农业经营体系建设。</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实施新型农业经营主体提升工程，培育壮大家庭农场、农民合作社、农业产业化企业等经营主体。支持企业通过订单收购、股份合作等方式，与农户建立紧密利益联结机制，带动小农户融入现代农业发展。加强新型农业经营主体带头人培训，每年培训各类经营主体负责人500人次，提升经营管理水平。</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00" w:type="dxa"/>
          </w:tcPr>
          <w:p>
            <w:pPr>
              <w:jc w:val="center"/>
              <w:rPr>
                <w:rFonts w:hint="eastAsia" w:ascii="黑体" w:hAnsi="黑体" w:eastAsia="黑体" w:cs="黑体"/>
                <w:strike w:val="0"/>
                <w:dstrike w:val="0"/>
                <w:color w:val="auto"/>
                <w:sz w:val="24"/>
                <w:szCs w:val="24"/>
                <w:highlight w:val="none"/>
                <w:u w:val="none" w:color="auto"/>
                <w:lang w:val="en-US" w:eastAsia="zh-CN"/>
              </w:rPr>
            </w:pPr>
            <w:r>
              <w:rPr>
                <w:rFonts w:hint="eastAsia" w:ascii="黑体" w:hAnsi="黑体" w:eastAsia="黑体" w:cs="黑体"/>
                <w:strike w:val="0"/>
                <w:dstrike w:val="0"/>
                <w:color w:val="auto"/>
                <w:sz w:val="24"/>
                <w:szCs w:val="24"/>
                <w:highlight w:val="none"/>
                <w:u w:val="none" w:color="auto"/>
                <w:lang w:val="en-US" w:eastAsia="zh-CN"/>
              </w:rPr>
              <w:t>专栏7 乡村振兴重点工程</w:t>
            </w:r>
          </w:p>
          <w:p>
            <w:pPr>
              <w:keepNext w:val="0"/>
              <w:keepLines w:val="0"/>
              <w:pageBreakBefore w:val="0"/>
              <w:widowControl w:val="0"/>
              <w:kinsoku/>
              <w:wordWrap/>
              <w:overflowPunct/>
              <w:topLinePunct w:val="0"/>
              <w:bidi w:val="0"/>
              <w:adjustRightInd/>
              <w:snapToGrid/>
              <w:spacing w:line="400" w:lineRule="exact"/>
              <w:textAlignment w:val="auto"/>
              <w:rPr>
                <w:rFonts w:hint="eastAsia"/>
                <w:strike w:val="0"/>
                <w:dstrike w:val="0"/>
                <w:color w:val="auto"/>
                <w:highlight w:val="none"/>
                <w:u w:val="none" w:color="auto"/>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highlight w:val="none"/>
                <w:u w:val="none" w:color="auto"/>
                <w:lang w:val="en-US" w:eastAsia="zh-CN"/>
              </w:rPr>
              <w:t>粮食产能提升工程：</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实施粮食单产提升工程，在光明山镇、大郑镇、青堆镇等粮食主产区建设高产片</w:t>
            </w:r>
            <w:r>
              <w:rPr>
                <w:rFonts w:hint="eastAsia" w:asciiTheme="minorEastAsia" w:hAnsiTheme="minorEastAsia" w:cstheme="minorEastAsia"/>
                <w:b w:val="0"/>
                <w:bCs w:val="0"/>
                <w:strike w:val="0"/>
                <w:dstrike w:val="0"/>
                <w:color w:val="auto"/>
                <w:highlight w:val="none"/>
                <w:u w:val="none" w:color="auto"/>
                <w:lang w:val="en-US" w:eastAsia="zh-CN"/>
              </w:rPr>
              <w:t>区</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，推广耐盐碱水稻、高油大豆、紧凑型玉米等优质高产品种，良种覆盖率保持100%</w:t>
            </w:r>
            <w:r>
              <w:rPr>
                <w:rFonts w:hint="eastAsia" w:asciiTheme="minorEastAsia" w:hAnsiTheme="minorEastAsia" w:eastAsiaTheme="minorEastAsia" w:cstheme="minorEastAsia"/>
                <w:b/>
                <w:bCs/>
                <w:strike w:val="0"/>
                <w:dstrike w:val="0"/>
                <w:color w:val="auto"/>
                <w:highlight w:val="none"/>
                <w:u w:val="none" w:color="auto"/>
                <w:lang w:val="en-US" w:eastAsia="zh-CN"/>
              </w:rPr>
              <w:t>。</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推进庄河市2025年高标准农田建设项目、庄河市2026年高标准农田建设项目</w:t>
            </w:r>
            <w:r>
              <w:rPr>
                <w:rFonts w:hint="eastAsia" w:asciiTheme="minorEastAsia" w:hAnsiTheme="minorEastAsia" w:cstheme="minorEastAsia"/>
                <w:b w:val="0"/>
                <w:bCs w:val="0"/>
                <w:strike w:val="0"/>
                <w:dstrike w:val="0"/>
                <w:color w:val="auto"/>
                <w:highlight w:val="none"/>
                <w:u w:val="none" w:color="auto"/>
                <w:lang w:val="en-US" w:eastAsia="zh-CN"/>
              </w:rPr>
              <w:t>，</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新建粮库项目、栗子房库区新建平房仓项目。</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b/>
                <w:bCs/>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highlight w:val="none"/>
                <w:u w:val="none" w:color="auto"/>
                <w:lang w:val="en-US" w:eastAsia="zh-CN"/>
              </w:rPr>
              <w:t>设施农业项目：</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在光明山镇、长岭镇等果蔬主产区，规划新建和改造节能型日光温室</w:t>
            </w:r>
            <w:r>
              <w:rPr>
                <w:rFonts w:hint="eastAsia" w:asciiTheme="minorEastAsia" w:hAnsiTheme="minorEastAsia" w:cstheme="minorEastAsia"/>
                <w:b w:val="0"/>
                <w:bCs w:val="0"/>
                <w:strike w:val="0"/>
                <w:dstrike w:val="0"/>
                <w:color w:val="auto"/>
                <w:highlight w:val="none"/>
                <w:u w:val="none" w:color="auto"/>
                <w:lang w:val="en-US" w:eastAsia="zh-CN"/>
              </w:rPr>
              <w:t>、</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连栋塑料大棚，配套建设水肥一体化系统、环境智能控制系统和物联网监测设备。</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b w:val="0"/>
                <w:bCs w:val="0"/>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highlight w:val="none"/>
                <w:u w:val="none" w:color="auto"/>
                <w:lang w:val="en-US" w:eastAsia="zh-CN"/>
              </w:rPr>
              <w:t>特色农业：</w:t>
            </w:r>
            <w:r>
              <w:rPr>
                <w:rFonts w:hint="eastAsia" w:asciiTheme="minorEastAsia" w:hAnsiTheme="minorEastAsia" w:cstheme="minorEastAsia"/>
                <w:b w:val="0"/>
                <w:bCs w:val="0"/>
                <w:strike w:val="0"/>
                <w:dstrike w:val="0"/>
                <w:color w:val="auto"/>
                <w:highlight w:val="none"/>
                <w:u w:val="none" w:color="auto"/>
                <w:lang w:val="en-US" w:eastAsia="zh-CN"/>
              </w:rPr>
              <w:t>1.</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草莓产业方面</w:t>
            </w:r>
            <w:r>
              <w:rPr>
                <w:rFonts w:hint="eastAsia" w:asciiTheme="minorEastAsia" w:hAnsiTheme="minorEastAsia" w:cstheme="minorEastAsia"/>
                <w:b w:val="0"/>
                <w:bCs w:val="0"/>
                <w:strike w:val="0"/>
                <w:dstrike w:val="0"/>
                <w:color w:val="auto"/>
                <w:highlight w:val="none"/>
                <w:u w:val="none" w:color="auto"/>
                <w:lang w:val="en-US" w:eastAsia="zh-CN"/>
              </w:rPr>
              <w:t>。</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推广优质品种，建设智能温控大棚、水肥一体化系统，打造“庄河草莓”区域公用品牌</w:t>
            </w:r>
            <w:r>
              <w:rPr>
                <w:rFonts w:hint="eastAsia" w:asciiTheme="minorEastAsia" w:hAnsiTheme="minorEastAsia" w:cstheme="minorEastAsia"/>
                <w:b w:val="0"/>
                <w:bCs w:val="0"/>
                <w:strike w:val="0"/>
                <w:dstrike w:val="0"/>
                <w:color w:val="auto"/>
                <w:highlight w:val="none"/>
                <w:u w:val="none" w:color="auto"/>
                <w:lang w:val="en-US" w:eastAsia="zh-CN"/>
              </w:rPr>
              <w:t>。2.</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蓝莓产业方面</w:t>
            </w:r>
            <w:r>
              <w:rPr>
                <w:rFonts w:hint="eastAsia" w:asciiTheme="minorEastAsia" w:hAnsiTheme="minorEastAsia" w:cstheme="minorEastAsia"/>
                <w:b w:val="0"/>
                <w:bCs w:val="0"/>
                <w:strike w:val="0"/>
                <w:dstrike w:val="0"/>
                <w:color w:val="auto"/>
                <w:highlight w:val="none"/>
                <w:u w:val="none" w:color="auto"/>
                <w:lang w:val="en-US" w:eastAsia="zh-CN"/>
              </w:rPr>
              <w:t>。</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建设城山镇蓝莓规模化种植基地，开发蓝莓果汁、花青素提取物等产品，推动“庄河蓝莓”国家地理标志品牌价值突破20亿元。</w:t>
            </w:r>
            <w:r>
              <w:rPr>
                <w:rFonts w:hint="eastAsia" w:asciiTheme="minorEastAsia" w:hAnsiTheme="minorEastAsia" w:cstheme="minorEastAsia"/>
                <w:b w:val="0"/>
                <w:bCs w:val="0"/>
                <w:strike w:val="0"/>
                <w:dstrike w:val="0"/>
                <w:color w:val="auto"/>
                <w:highlight w:val="none"/>
                <w:u w:val="none" w:color="auto"/>
                <w:lang w:val="en-US" w:eastAsia="zh-CN"/>
              </w:rPr>
              <w:t>3.其他果蔬方面。在歇马杏主产区引进“金太阳”“凯特”等改良品种，完成歇马杏种植园升级；在北部山区推广“阳光玫瑰”葡萄、软枣猕猴桃等特色水果。到2030年，新增特色水果种植面积1.2万亩，形成“草莓、蓝莓为主，多元果蔬互补”的产业格局。</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strike w:val="0"/>
                <w:dstrike w:val="0"/>
                <w:color w:val="auto"/>
                <w:highlight w:val="none"/>
                <w:u w:val="none" w:color="auto"/>
                <w:shd w:val="clear" w:color="auto" w:fill="auto"/>
                <w:vertAlign w:val="baseline"/>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cstheme="minorEastAsia"/>
                <w:b/>
                <w:bCs/>
                <w:strike w:val="0"/>
                <w:dstrike w:val="0"/>
                <w:color w:val="auto"/>
                <w:highlight w:val="none"/>
                <w:u w:val="none" w:color="auto"/>
                <w:lang w:val="en-US" w:eastAsia="zh-CN"/>
              </w:rPr>
              <w:t>一二三产业融合发展项目</w:t>
            </w:r>
            <w:r>
              <w:rPr>
                <w:rFonts w:hint="eastAsia" w:asciiTheme="minorEastAsia" w:hAnsiTheme="minorEastAsia" w:eastAsiaTheme="minorEastAsia" w:cstheme="minorEastAsia"/>
                <w:b/>
                <w:bCs/>
                <w:strike w:val="0"/>
                <w:dstrike w:val="0"/>
                <w:color w:val="auto"/>
                <w:highlight w:val="none"/>
                <w:u w:val="none" w:color="auto"/>
                <w:lang w:val="en-US" w:eastAsia="zh-CN"/>
              </w:rPr>
              <w:t>：</w:t>
            </w:r>
            <w:r>
              <w:rPr>
                <w:rFonts w:hint="eastAsia"/>
                <w:b w:val="0"/>
                <w:bCs w:val="0"/>
                <w:strike w:val="0"/>
                <w:dstrike w:val="0"/>
                <w:color w:val="auto"/>
                <w:highlight w:val="none"/>
                <w:u w:val="none" w:color="auto"/>
                <w:lang w:val="en-US" w:eastAsia="zh-CN"/>
              </w:rPr>
              <w:t>推进城山研学、写生、营地教育基地项目，荷花山镇万亿村乡村振兴重点村项目，光明山镇乡村振兴重点村项目。</w:t>
            </w:r>
          </w:p>
        </w:tc>
      </w:tr>
    </w:tbl>
    <w:p>
      <w:pPr>
        <w:pStyle w:val="4"/>
        <w:pageBreakBefore w:val="0"/>
        <w:widowControl w:val="0"/>
        <w:kinsoku/>
        <w:wordWrap/>
        <w:overflowPunct/>
        <w:topLinePunct w:val="0"/>
        <w:autoSpaceDE/>
        <w:autoSpaceDN/>
        <w:bidi w:val="0"/>
        <w:spacing w:line="600" w:lineRule="exact"/>
        <w:textAlignment w:val="auto"/>
        <w:rPr>
          <w:rFonts w:hint="eastAsia"/>
          <w:strike w:val="0"/>
          <w:dstrike w:val="0"/>
          <w:color w:val="auto"/>
          <w:highlight w:val="none"/>
          <w:u w:val="none" w:color="auto"/>
          <w:shd w:val="clear" w:color="auto" w:fill="auto"/>
          <w:lang w:val="en-US" w:eastAsia="zh-CN"/>
        </w:rPr>
      </w:pPr>
      <w:bookmarkStart w:id="136" w:name="_Toc2009508577"/>
      <w:r>
        <w:rPr>
          <w:rFonts w:hint="eastAsia"/>
          <w:strike w:val="0"/>
          <w:dstrike w:val="0"/>
          <w:color w:val="auto"/>
          <w:highlight w:val="none"/>
          <w:u w:val="none" w:color="auto"/>
          <w:shd w:val="clear" w:color="auto" w:fill="auto"/>
          <w:lang w:val="en-US" w:eastAsia="zh-CN"/>
        </w:rPr>
        <w:t xml:space="preserve">第四节 </w:t>
      </w:r>
      <w:r>
        <w:rPr>
          <w:rFonts w:hint="eastAsia" w:ascii="Times New Roman" w:hAnsi="Times New Roman" w:eastAsia="楷体_GB2312" w:cs="Arial"/>
          <w:b/>
          <w:bCs/>
          <w:strike w:val="0"/>
          <w:dstrike w:val="0"/>
          <w:color w:val="auto"/>
          <w:highlight w:val="none"/>
          <w:u w:val="none" w:color="auto"/>
        </w:rPr>
        <w:t>推进</w:t>
      </w:r>
      <w:r>
        <w:rPr>
          <w:rFonts w:ascii="Times New Roman" w:hAnsi="Times New Roman" w:eastAsia="楷体_GB2312" w:cs="Arial"/>
          <w:b/>
          <w:bCs/>
          <w:strike w:val="0"/>
          <w:dstrike w:val="0"/>
          <w:color w:val="auto"/>
          <w:highlight w:val="none"/>
          <w:u w:val="none" w:color="auto"/>
        </w:rPr>
        <w:t>宜居宜业和美乡村建设</w:t>
      </w:r>
      <w:bookmarkEnd w:id="136"/>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优化乡村规划空间布局。</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坚持全市“一盘棋”思想，科学编制村庄规划，绘好美丽乡村建设“一张图”。建设一批设施完备、功能多样的美丽休闲乡村、乡村旅游重点村，积极创建历史文化名镇、“五好两宜”和美乡村。有序推动步云山村、马道口村、东滩村等一批特色村落建设。提升农村托育、养老、医疗等基本公共服务能力。统筹推进乡村公路、电网、供水、物流等基础设施提档升级。持续抓好“四好农村路”建设。</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推进美丽数字新乡村建设，完善农村数字基础设施。</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巩固提升电网系统，优化电力输送通道，构建以500千伏和220千伏输变电系统为核心，66千伏输变电系统为纽带，10千伏及以下配电网为支撑的“大环网</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智能配网”的新型输配电网络。“十五五”期间，计划建成220千伏变电站1座，66千伏变电站5座，改造66千伏变电站4座。</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全面提升农村人居环境质量。</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健全农村生活垃圾“户分类、村收集、镇转运、县处理”体系，推进源头减量与资源化利用。提升有毒有害垃圾处置能力，无害化处理率达到98%以上。提升村容村貌，开展乡村绿化美化行动和村庄清洁行动。加强农房建设管理，推广辽南特色民居建筑风格，保持乡村风貌协调统一。开展镇村河道综合整治工程，全面消除农村黑臭水体。强化农业面源污染防治，发展生态循环农业。坚持畜禽养殖污染治理与农村人居环境整治相结合，推广粪污资源化利用技术。</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400" w:type="dxa"/>
          </w:tcPr>
          <w:p>
            <w:pPr>
              <w:jc w:val="center"/>
              <w:rPr>
                <w:rFonts w:hint="eastAsia" w:ascii="黑体" w:hAnsi="黑体" w:eastAsia="黑体" w:cs="黑体"/>
                <w:strike w:val="0"/>
                <w:dstrike w:val="0"/>
                <w:color w:val="auto"/>
                <w:sz w:val="24"/>
                <w:szCs w:val="24"/>
                <w:highlight w:val="none"/>
                <w:u w:val="none" w:color="auto"/>
                <w:lang w:val="en-US" w:eastAsia="zh-CN"/>
              </w:rPr>
            </w:pPr>
            <w:r>
              <w:rPr>
                <w:rFonts w:hint="eastAsia" w:ascii="黑体" w:hAnsi="黑体" w:eastAsia="黑体" w:cs="黑体"/>
                <w:strike w:val="0"/>
                <w:dstrike w:val="0"/>
                <w:color w:val="auto"/>
                <w:sz w:val="24"/>
                <w:szCs w:val="24"/>
                <w:highlight w:val="none"/>
                <w:u w:val="none" w:color="auto"/>
                <w:lang w:val="en-US" w:eastAsia="zh-CN"/>
              </w:rPr>
              <w:t>专栏8 和美乡村重点工程</w:t>
            </w:r>
          </w:p>
          <w:p>
            <w:pPr>
              <w:keepNext w:val="0"/>
              <w:keepLines w:val="0"/>
              <w:pageBreakBefore w:val="0"/>
              <w:widowControl w:val="0"/>
              <w:kinsoku/>
              <w:wordWrap/>
              <w:overflowPunct/>
              <w:topLinePunct w:val="0"/>
              <w:bidi w:val="0"/>
              <w:adjustRightInd/>
              <w:snapToGrid/>
              <w:spacing w:line="400" w:lineRule="exact"/>
              <w:textAlignment w:val="auto"/>
              <w:rPr>
                <w:rFonts w:hint="eastAsia"/>
                <w:strike w:val="0"/>
                <w:dstrike w:val="0"/>
                <w:color w:val="auto"/>
                <w:highlight w:val="none"/>
                <w:u w:val="none" w:color="auto"/>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heme="minorEastAsia" w:hAnsiTheme="minorEastAsia" w:eastAsiaTheme="minorEastAsia" w:cstheme="minorEastAsia"/>
                <w:b/>
                <w:bCs/>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cstheme="minorEastAsia"/>
                <w:b/>
                <w:bCs/>
                <w:strike w:val="0"/>
                <w:dstrike w:val="0"/>
                <w:color w:val="auto"/>
                <w:highlight w:val="none"/>
                <w:u w:val="none" w:color="auto"/>
                <w:lang w:val="en-US" w:eastAsia="zh-CN"/>
              </w:rPr>
              <w:t>农村物流</w:t>
            </w:r>
            <w:r>
              <w:rPr>
                <w:rFonts w:hint="eastAsia" w:asciiTheme="minorEastAsia" w:hAnsiTheme="minorEastAsia" w:eastAsiaTheme="minorEastAsia" w:cstheme="minorEastAsia"/>
                <w:b/>
                <w:bCs/>
                <w:strike w:val="0"/>
                <w:dstrike w:val="0"/>
                <w:color w:val="auto"/>
                <w:highlight w:val="none"/>
                <w:u w:val="none" w:color="auto"/>
                <w:lang w:val="en-US" w:eastAsia="zh-CN"/>
              </w:rPr>
              <w:t>项目：</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建设现代化农产品交易市场，升级改造庄河水产品批发市场，建设大郑农产品集散中心。</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Theme="minorEastAsia" w:hAnsiTheme="minorEastAsia" w:eastAsiaTheme="minorEastAsia" w:cstheme="minorEastAsia"/>
                <w:b w:val="0"/>
                <w:bCs w:val="0"/>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cstheme="minorEastAsia"/>
                <w:b/>
                <w:bCs/>
                <w:strike w:val="0"/>
                <w:dstrike w:val="0"/>
                <w:color w:val="auto"/>
                <w:highlight w:val="none"/>
                <w:u w:val="none" w:color="auto"/>
                <w:lang w:val="en-US" w:eastAsia="zh-CN"/>
              </w:rPr>
              <w:t>农村电网工程</w:t>
            </w:r>
            <w:r>
              <w:rPr>
                <w:rFonts w:hint="eastAsia" w:asciiTheme="minorEastAsia" w:hAnsiTheme="minorEastAsia" w:eastAsiaTheme="minorEastAsia" w:cstheme="minorEastAsia"/>
                <w:b/>
                <w:bCs/>
                <w:strike w:val="0"/>
                <w:dstrike w:val="0"/>
                <w:color w:val="auto"/>
                <w:highlight w:val="none"/>
                <w:u w:val="none" w:color="auto"/>
                <w:lang w:val="en-US" w:eastAsia="zh-CN"/>
              </w:rPr>
              <w:t>：</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加快推进农村电网巩固提升工程，新建和改造10千伏线路200公里，配电变压器300台。推进旭升220千伏输变电工程、城东66千伏输变电工程、徐岭66千伏输变电工程、三架山66千伏输变电工程、城西66千伏输变电工程、圣水（花园口#2）66kV输变电新建工程、长岭66千伏变电站扩建工程、暖水66千伏变电站扩建工程、荷花山66千伏变电站主变扩建工程、龙王庙－石城35千伏线路升压改造工程、双利－花园口220千伏线路工程、旭升220千伏变电站66千伏送出工程、庄河66千伏庄光线线路改造工程、庄河66千伏光长线线路改造工程、庄河66千伏庄双左右线线路改造工程、旭升－仙人洞T接塔岭变电站66kV线路工程、青堆－鞍子山T接栗子房变电站66kV线路工程、栗子房－南尖66kV线路工程、庄河66千伏双黑左右线改造工程、旭升－桂云花T接步云山变电站66千伏线路新建工程、庄河塔岭－仙人洞66千伏线路工程。</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cstheme="minorEastAsia"/>
                <w:b/>
                <w:bCs/>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cstheme="minorEastAsia"/>
                <w:b/>
                <w:bCs/>
                <w:strike w:val="0"/>
                <w:dstrike w:val="0"/>
                <w:color w:val="auto"/>
                <w:highlight w:val="none"/>
                <w:u w:val="none" w:color="auto"/>
                <w:lang w:val="en-US" w:eastAsia="zh-CN"/>
              </w:rPr>
              <w:t>农村生活污水治理工程：</w:t>
            </w:r>
            <w:r>
              <w:rPr>
                <w:rFonts w:hint="eastAsia" w:asciiTheme="minorEastAsia" w:hAnsiTheme="minorEastAsia" w:cstheme="minorEastAsia"/>
                <w:b w:val="0"/>
                <w:bCs w:val="0"/>
                <w:strike w:val="0"/>
                <w:dstrike w:val="0"/>
                <w:color w:val="auto"/>
                <w:highlight w:val="none"/>
                <w:u w:val="none" w:color="auto"/>
                <w:lang w:val="en-US" w:eastAsia="zh-CN"/>
              </w:rPr>
              <w:t>在青堆、大郑等重点乡镇建设集中式污水处理设施，在北部山区推广分散式生态处理模式，农村生活污水治理率达到85%以上。</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cstheme="minorEastAsia"/>
                <w:b/>
                <w:bCs/>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cstheme="minorEastAsia"/>
                <w:b/>
                <w:bCs/>
                <w:strike w:val="0"/>
                <w:dstrike w:val="0"/>
                <w:color w:val="auto"/>
                <w:highlight w:val="none"/>
                <w:u w:val="none" w:color="auto"/>
                <w:lang w:val="en-US" w:eastAsia="zh-CN"/>
              </w:rPr>
              <w:t>厕所革命：</w:t>
            </w:r>
            <w:r>
              <w:rPr>
                <w:rFonts w:hint="eastAsia" w:asciiTheme="minorEastAsia" w:hAnsiTheme="minorEastAsia" w:cstheme="minorEastAsia"/>
                <w:b w:val="0"/>
                <w:bCs w:val="0"/>
                <w:strike w:val="0"/>
                <w:dstrike w:val="0"/>
                <w:color w:val="auto"/>
                <w:highlight w:val="none"/>
                <w:u w:val="none" w:color="auto"/>
                <w:lang w:val="en-US" w:eastAsia="zh-CN"/>
              </w:rPr>
              <w:t>新建改造农村卫生厕所3万户，卫生厕所普及率达到95%以上。</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b w:val="0"/>
                <w:bCs w:val="0"/>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cstheme="minorEastAsia"/>
                <w:b/>
                <w:bCs/>
                <w:strike w:val="0"/>
                <w:dstrike w:val="0"/>
                <w:color w:val="auto"/>
                <w:highlight w:val="none"/>
                <w:u w:val="none" w:color="auto"/>
                <w:lang w:val="en-US" w:eastAsia="zh-CN"/>
              </w:rPr>
              <w:t>数字乡村建设工程</w:t>
            </w:r>
            <w:r>
              <w:rPr>
                <w:rFonts w:hint="eastAsia" w:asciiTheme="minorEastAsia" w:hAnsiTheme="minorEastAsia" w:eastAsiaTheme="minorEastAsia" w:cstheme="minorEastAsia"/>
                <w:b/>
                <w:bCs/>
                <w:strike w:val="0"/>
                <w:dstrike w:val="0"/>
                <w:color w:val="auto"/>
                <w:highlight w:val="none"/>
                <w:u w:val="none" w:color="auto"/>
                <w:lang w:val="en-US" w:eastAsia="zh-CN"/>
              </w:rPr>
              <w:t>：</w:t>
            </w:r>
            <w:r>
              <w:rPr>
                <w:rFonts w:hint="eastAsia"/>
                <w:b w:val="0"/>
                <w:bCs w:val="0"/>
                <w:strike w:val="0"/>
                <w:dstrike w:val="0"/>
                <w:color w:val="auto"/>
                <w:highlight w:val="none"/>
                <w:u w:val="none" w:color="auto"/>
                <w:lang w:val="en-US" w:eastAsia="zh-CN"/>
              </w:rPr>
              <w:t>推进步云山乡、塔岭镇、桂云花乡数字乡村建设。</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strike w:val="0"/>
                <w:dstrike w:val="0"/>
                <w:color w:val="auto"/>
                <w:highlight w:val="none"/>
                <w:u w:val="none" w:color="auto"/>
                <w:shd w:val="clear" w:color="auto" w:fill="auto"/>
                <w:vertAlign w:val="baseline"/>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HAnsi" w:hAnsiTheme="minorHAnsi" w:eastAsiaTheme="minorEastAsia" w:cstheme="minorBidi"/>
                <w:b/>
                <w:bCs/>
                <w:strike w:val="0"/>
                <w:dstrike w:val="0"/>
                <w:color w:val="auto"/>
                <w:kern w:val="2"/>
                <w:sz w:val="21"/>
                <w:szCs w:val="24"/>
                <w:highlight w:val="none"/>
                <w:u w:val="none" w:color="auto"/>
                <w:lang w:val="en-US" w:eastAsia="zh-CN" w:bidi="ar-SA"/>
              </w:rPr>
              <w:t>农业面源污染治理重点县项目：</w:t>
            </w:r>
            <w:r>
              <w:rPr>
                <w:rFonts w:hint="eastAsia" w:cstheme="minorBidi"/>
                <w:b w:val="0"/>
                <w:bCs w:val="0"/>
                <w:strike w:val="0"/>
                <w:dstrike w:val="0"/>
                <w:color w:val="auto"/>
                <w:kern w:val="2"/>
                <w:sz w:val="21"/>
                <w:szCs w:val="24"/>
                <w:highlight w:val="none"/>
                <w:u w:val="none" w:color="auto"/>
                <w:lang w:val="en-US" w:eastAsia="zh-CN" w:bidi="ar-SA"/>
              </w:rPr>
              <w:t>谋划</w:t>
            </w:r>
            <w:r>
              <w:rPr>
                <w:rFonts w:hint="eastAsia" w:asciiTheme="minorHAnsi" w:hAnsiTheme="minorHAnsi" w:eastAsiaTheme="minorEastAsia" w:cstheme="minorBidi"/>
                <w:b w:val="0"/>
                <w:bCs w:val="0"/>
                <w:strike w:val="0"/>
                <w:dstrike w:val="0"/>
                <w:color w:val="auto"/>
                <w:kern w:val="2"/>
                <w:sz w:val="21"/>
                <w:szCs w:val="24"/>
                <w:highlight w:val="none"/>
                <w:u w:val="none" w:color="auto"/>
                <w:lang w:val="en-US" w:eastAsia="zh-CN" w:bidi="ar-SA"/>
              </w:rPr>
              <w:t>建设农业面源污染监测站，推广生态拦截沟渠，配套建设农药包装废弃物回收点。</w:t>
            </w:r>
          </w:p>
        </w:tc>
      </w:tr>
    </w:tbl>
    <w:p>
      <w:pPr>
        <w:pStyle w:val="4"/>
        <w:pageBreakBefore w:val="0"/>
        <w:widowControl w:val="0"/>
        <w:kinsoku/>
        <w:wordWrap/>
        <w:overflowPunct/>
        <w:topLinePunct w:val="0"/>
        <w:autoSpaceDE/>
        <w:autoSpaceDN/>
        <w:bidi w:val="0"/>
        <w:spacing w:line="600" w:lineRule="exact"/>
        <w:textAlignment w:val="auto"/>
        <w:rPr>
          <w:rFonts w:hint="eastAsia" w:ascii="楷体_GB2312" w:hAnsi="楷体_GB2312" w:eastAsia="楷体_GB2312" w:cs="楷体_GB2312"/>
          <w:b/>
          <w:bCs/>
          <w:strike w:val="0"/>
          <w:dstrike w:val="0"/>
          <w:color w:val="auto"/>
          <w:kern w:val="2"/>
          <w:szCs w:val="32"/>
          <w:highlight w:val="none"/>
          <w:u w:val="none" w:color="auto"/>
          <w:shd w:val="clear" w:color="auto" w:fill="auto"/>
          <w:lang w:val="en-US" w:eastAsia="zh-CN" w:bidi="ar-SA"/>
        </w:rPr>
      </w:pPr>
      <w:bookmarkStart w:id="137" w:name="_Toc668581838"/>
      <w:r>
        <w:rPr>
          <w:rFonts w:hint="eastAsia"/>
          <w:strike w:val="0"/>
          <w:dstrike w:val="0"/>
          <w:color w:val="auto"/>
          <w:highlight w:val="none"/>
          <w:u w:val="none" w:color="auto"/>
          <w:shd w:val="clear" w:color="auto" w:fill="auto"/>
          <w:lang w:val="en-US" w:eastAsia="zh-CN"/>
        </w:rPr>
        <w:t>第五节 深化农业农村改革</w:t>
      </w:r>
      <w:bookmarkEnd w:id="137"/>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巩固和完善农村基本经营制度。</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有序推进第二轮土地承包到期后再延长30年，深化承包地所有权、承包权、经营权分置改革，发展农业适度规模经营。巩固提升农村集体产权制度改革成果，发展新型农村集体经济，构建产权明晰、分配合理的运行机制，赋予农民更加充分的财产权益。规范农村集体经济组织及其运行管理、农村产权流转交易，加强农村集体资产监督管理，严格控制集体经营风险和债务规模。</w:t>
      </w:r>
      <w:r>
        <w:rPr>
          <w:rFonts w:hint="eastAsia" w:ascii="仿宋_GB2312" w:hAnsi="仿宋_GB2312" w:eastAsia="仿宋_GB2312" w:cs="仿宋_GB2312"/>
          <w:b w:val="0"/>
          <w:bCs w:val="0"/>
          <w:strike w:val="0"/>
          <w:dstrike w:val="0"/>
          <w:color w:val="auto"/>
          <w:sz w:val="32"/>
          <w:szCs w:val="32"/>
          <w:highlight w:val="none"/>
          <w:u w:val="none" w:color="auto"/>
          <w:shd w:val="clear" w:color="auto" w:fill="auto"/>
          <w:lang w:val="en-US" w:eastAsia="zh-CN"/>
        </w:rPr>
        <w:t>审慎推进农村宅基地制度改革，</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盘活农村闲置住房。有序推进农村集体经营性建设用地入市改革。深化农业水价综合改革，建立健全有利于节水和农田水利工程良性运行的农业水价形成机制。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健全多元化乡村振兴投入保障机制。</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发挥财政支持作用，坚持将农业农村作为一般公共预算优先保障领域，落实提高土地出让收益用于农业农村比例政策，用好涉农投融资政策。强化政策性金融支农作用。推动银行机构围绕“三农”领域持续发力，创新推出特色涉农信贷产品。深化推进“整村授信”，推动“授信资金”转化为“生产资金”。用好支农再贷款，提高在“整村授信”模式下的支农再贷款的报销比例，降低农户融资成本。建立健全市场化涉农金融风险补偿机制，发展多层次农业保险，完善农业再保险和农业保险大灾风险分散机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坚持党建引领乡村治理。</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完善县乡村三级治理体系，推进乡村治理体系和治理能力现代化。健全乡村人才培养体制机制，加强乡村产业带头人等各类人才培育。建立防止返贫致贫、农村低收入人口分层分类帮扶机制，推进帮扶产业提质增效，为乡村全面振兴提供坚实保障。</w:t>
      </w:r>
    </w:p>
    <w:p>
      <w:pPr>
        <w:pStyle w:val="3"/>
        <w:pageBreakBefore w:val="0"/>
        <w:widowControl w:val="0"/>
        <w:kinsoku/>
        <w:wordWrap/>
        <w:overflowPunct/>
        <w:topLinePunct w:val="0"/>
        <w:autoSpaceDE/>
        <w:autoSpaceDN/>
        <w:bidi w:val="0"/>
        <w:spacing w:line="600" w:lineRule="exact"/>
        <w:textAlignment w:val="auto"/>
        <w:rPr>
          <w:rFonts w:hint="default"/>
          <w:strike w:val="0"/>
          <w:dstrike w:val="0"/>
          <w:color w:val="auto"/>
          <w:highlight w:val="none"/>
          <w:u w:val="none" w:color="auto"/>
          <w:shd w:val="clear" w:color="auto" w:fill="auto"/>
          <w:lang w:val="en-US" w:eastAsia="zh-CN"/>
        </w:rPr>
      </w:pPr>
      <w:bookmarkStart w:id="138" w:name="_Toc1859257199"/>
      <w:r>
        <w:rPr>
          <w:rFonts w:hint="eastAsia"/>
          <w:strike w:val="0"/>
          <w:dstrike w:val="0"/>
          <w:color w:val="auto"/>
          <w:highlight w:val="none"/>
          <w:u w:val="none" w:color="auto"/>
          <w:shd w:val="clear" w:color="auto" w:fill="auto"/>
          <w:lang w:val="en-US" w:eastAsia="zh-CN"/>
        </w:rPr>
        <w:t>第十章 加强现代化基础设施建设，提升县域综合承载力</w:t>
      </w:r>
      <w:bookmarkEnd w:id="138"/>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以交通和能源为代表的传统基建项目和数字基础设施为主的新型基建项目协同发力，统筹传统和新型、存量和增量基础设施发展，加快构建先进适用、系统完备、集约高效、安全绿色的现代化基础设施体系。</w:t>
      </w:r>
    </w:p>
    <w:p>
      <w:pPr>
        <w:pStyle w:val="4"/>
        <w:pageBreakBefore w:val="0"/>
        <w:widowControl w:val="0"/>
        <w:kinsoku/>
        <w:wordWrap/>
        <w:overflowPunct/>
        <w:topLinePunct w:val="0"/>
        <w:autoSpaceDE/>
        <w:autoSpaceDN/>
        <w:bidi w:val="0"/>
        <w:spacing w:line="600" w:lineRule="exact"/>
        <w:textAlignment w:val="auto"/>
        <w:rPr>
          <w:rFonts w:hint="default"/>
          <w:strike w:val="0"/>
          <w:dstrike w:val="0"/>
          <w:color w:val="auto"/>
          <w:highlight w:val="none"/>
          <w:u w:val="none" w:color="auto"/>
          <w:shd w:val="clear" w:color="auto" w:fill="auto"/>
          <w:lang w:val="en-US" w:eastAsia="zh-CN"/>
        </w:rPr>
      </w:pPr>
      <w:bookmarkStart w:id="139" w:name="_Toc35240789"/>
      <w:r>
        <w:rPr>
          <w:rFonts w:hint="eastAsia"/>
          <w:strike w:val="0"/>
          <w:dstrike w:val="0"/>
          <w:color w:val="auto"/>
          <w:highlight w:val="none"/>
          <w:u w:val="none" w:color="auto"/>
          <w:shd w:val="clear" w:color="auto" w:fill="auto"/>
          <w:lang w:val="en-US" w:eastAsia="zh-CN"/>
        </w:rPr>
        <w:t>第一节 完善现代化交通运输体系</w:t>
      </w:r>
      <w:bookmarkEnd w:id="139"/>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Times New Roman" w:hAnsi="Times New Roman" w:eastAsia="仿宋_GB2312" w:cs="Times New Roman"/>
          <w:strike w:val="0"/>
          <w:dstrike w:val="0"/>
          <w:color w:val="auto"/>
          <w:sz w:val="32"/>
          <w:szCs w:val="32"/>
          <w:highlight w:val="none"/>
          <w:u w:val="none" w:color="auto"/>
          <w:shd w:val="clear" w:color="auto" w:fill="auto"/>
          <w:lang w:val="zh-CN" w:eastAsia="zh-CN"/>
        </w:rPr>
      </w:pPr>
      <w:r>
        <w:rPr>
          <w:rFonts w:hint="eastAsia" w:ascii="Times New Roman" w:hAnsi="Times New Roman" w:eastAsia="仿宋_GB2312" w:cs="Times New Roman"/>
          <w:b/>
          <w:bCs/>
          <w:strike w:val="0"/>
          <w:dstrike w:val="0"/>
          <w:color w:val="auto"/>
          <w:sz w:val="32"/>
          <w:szCs w:val="32"/>
          <w:highlight w:val="none"/>
          <w:u w:val="none" w:color="auto"/>
          <w:shd w:val="clear" w:color="auto" w:fill="auto"/>
          <w:lang w:val="zh-CN" w:eastAsia="zh-CN"/>
        </w:rPr>
        <w:t>打造</w:t>
      </w:r>
      <w:r>
        <w:rPr>
          <w:rFonts w:hint="eastAsia" w:ascii="Times New Roman" w:hAnsi="Times New Roman" w:eastAsia="仿宋_GB2312" w:cs="Times New Roman"/>
          <w:b/>
          <w:bCs/>
          <w:strike w:val="0"/>
          <w:dstrike w:val="0"/>
          <w:color w:val="auto"/>
          <w:sz w:val="32"/>
          <w:szCs w:val="32"/>
          <w:highlight w:val="none"/>
          <w:u w:val="none" w:color="auto"/>
          <w:shd w:val="clear" w:color="auto" w:fill="auto"/>
          <w:lang w:val="en-US" w:eastAsia="zh-CN"/>
        </w:rPr>
        <w:t>内畅外联的现代化</w:t>
      </w:r>
      <w:r>
        <w:rPr>
          <w:rFonts w:hint="eastAsia" w:ascii="Times New Roman" w:hAnsi="Times New Roman" w:eastAsia="仿宋_GB2312" w:cs="Times New Roman"/>
          <w:b/>
          <w:bCs/>
          <w:strike w:val="0"/>
          <w:dstrike w:val="0"/>
          <w:color w:val="auto"/>
          <w:sz w:val="32"/>
          <w:szCs w:val="32"/>
          <w:highlight w:val="none"/>
          <w:u w:val="none" w:color="auto"/>
          <w:shd w:val="clear" w:color="auto" w:fill="auto"/>
          <w:lang w:val="zh-CN" w:eastAsia="zh-CN"/>
        </w:rPr>
        <w:t>公路</w:t>
      </w:r>
      <w:r>
        <w:rPr>
          <w:rFonts w:hint="default" w:ascii="Times New Roman" w:hAnsi="Times New Roman" w:eastAsia="仿宋_GB2312" w:cs="Times New Roman"/>
          <w:b/>
          <w:bCs/>
          <w:strike w:val="0"/>
          <w:dstrike w:val="0"/>
          <w:color w:val="auto"/>
          <w:sz w:val="32"/>
          <w:szCs w:val="32"/>
          <w:highlight w:val="none"/>
          <w:u w:val="none" w:color="auto"/>
          <w:shd w:val="clear" w:color="auto" w:fill="auto"/>
          <w:lang w:val="zh-CN" w:eastAsia="zh-CN"/>
        </w:rPr>
        <w:t>网。</w:t>
      </w:r>
      <w:r>
        <w:rPr>
          <w:rFonts w:hint="default" w:ascii="Times New Roman" w:hAnsi="Times New Roman" w:eastAsia="仿宋_GB2312" w:cs="Times New Roman"/>
          <w:strike w:val="0"/>
          <w:dstrike w:val="0"/>
          <w:color w:val="auto"/>
          <w:sz w:val="32"/>
          <w:szCs w:val="32"/>
          <w:highlight w:val="none"/>
          <w:u w:val="none" w:color="auto"/>
          <w:shd w:val="clear" w:color="auto" w:fill="auto"/>
          <w:lang w:val="zh-CN" w:eastAsia="zh-CN"/>
        </w:rPr>
        <w:t>实现普通公路与高等级公路、农村公路与干线公路的有效衔接，加快构筑区域性</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公路</w:t>
      </w:r>
      <w:r>
        <w:rPr>
          <w:rFonts w:hint="default" w:ascii="Times New Roman" w:hAnsi="Times New Roman" w:eastAsia="仿宋_GB2312" w:cs="Times New Roman"/>
          <w:strike w:val="0"/>
          <w:dstrike w:val="0"/>
          <w:color w:val="auto"/>
          <w:sz w:val="32"/>
          <w:szCs w:val="32"/>
          <w:highlight w:val="none"/>
          <w:u w:val="none" w:color="auto"/>
          <w:shd w:val="clear" w:color="auto" w:fill="auto"/>
          <w:lang w:val="zh-CN" w:eastAsia="zh-CN"/>
        </w:rPr>
        <w:t>交通网络</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zh-CN" w:eastAsia="zh-CN"/>
        </w:rPr>
        <w:t>。强化与京哈走廊、绥满通道、京延通道等国家综合立体交通网主骨架的衔接，配合省市部门推动本溪至庄河高速公路庄河段开工建设，配合开展庄河至瓦房店高速公路前期工作，做好主城区、沿海经济带、主要旅游景区、国省主干道与高速公路有效连接，积极打造辽东滨海旅游公路（国道丹东线大连庄河段），构建交旅融合新格局。</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以维修改造为主，加强局部瓶颈路段改造，提升国道的服务品质。推进天门山至步云山新建公路</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zh-CN" w:eastAsia="zh-CN"/>
        </w:rPr>
        <w:t>等工程建设。</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加强区域功能性公路建设，规划山步线改扩建工程，</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zh-CN" w:eastAsia="zh-CN"/>
        </w:rPr>
        <w:t>谋划开展</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庄龙线改扩建工程。</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zh-CN" w:eastAsia="zh-CN"/>
        </w:rPr>
        <w:t>开展</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庄河至石城岛跨海通道前期研究，</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zh-CN" w:eastAsia="zh-CN"/>
        </w:rPr>
        <w:t>力争将其连接线统筹纳入</w:t>
      </w:r>
      <w:r>
        <w:rPr>
          <w:rFonts w:hint="eastAsia" w:ascii="仿宋_GB2312" w:hAnsi="仿宋_GB2312" w:eastAsia="仿宋_GB2312" w:cs="仿宋_GB2312"/>
          <w:strike w:val="0"/>
          <w:dstrike w:val="0"/>
          <w:color w:val="auto"/>
          <w:sz w:val="32"/>
          <w:szCs w:val="32"/>
          <w:highlight w:val="none"/>
          <w:u w:val="none" w:color="auto"/>
          <w:shd w:val="clear" w:color="auto" w:fill="auto"/>
          <w:lang w:val="zh-CN" w:eastAsia="zh-CN"/>
        </w:rPr>
        <w:t>G613</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zh-CN" w:eastAsia="zh-CN"/>
        </w:rPr>
        <w:t>线规划。力争到</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2030</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年</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zh-CN" w:eastAsia="zh-CN"/>
        </w:rPr>
        <w:t>，全市各等级公路突破</w:t>
      </w:r>
      <w:r>
        <w:rPr>
          <w:rFonts w:hint="eastAsia" w:ascii="仿宋_GB2312" w:hAnsi="仿宋_GB2312" w:eastAsia="仿宋_GB2312" w:cs="仿宋_GB2312"/>
          <w:strike w:val="0"/>
          <w:dstrike w:val="0"/>
          <w:color w:val="auto"/>
          <w:sz w:val="32"/>
          <w:szCs w:val="32"/>
          <w:highlight w:val="none"/>
          <w:u w:val="none" w:color="auto"/>
          <w:shd w:val="clear" w:color="auto" w:fill="auto"/>
          <w:lang w:val="zh-CN" w:eastAsia="zh-CN"/>
        </w:rPr>
        <w:t>4300</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zh-CN" w:eastAsia="zh-CN"/>
        </w:rPr>
        <w:t>公里。</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imes New Roman" w:hAnsi="Times New Roman" w:eastAsia="仿宋_GB2312" w:cs="Times New Roman"/>
          <w:strike w:val="0"/>
          <w:dstrike w:val="0"/>
          <w:color w:val="auto"/>
          <w:sz w:val="32"/>
          <w:szCs w:val="32"/>
          <w:highlight w:val="none"/>
          <w:u w:val="none" w:color="auto"/>
          <w:shd w:val="clear" w:color="auto" w:fill="auto"/>
          <w:lang w:val="zh-CN" w:eastAsia="zh-CN"/>
        </w:rPr>
      </w:pPr>
      <w:r>
        <w:rPr>
          <w:rFonts w:hint="eastAsia" w:ascii="Times New Roman" w:hAnsi="Times New Roman" w:eastAsia="仿宋_GB2312" w:cs="Times New Roman"/>
          <w:strike w:val="0"/>
          <w:dstrike w:val="0"/>
          <w:color w:val="auto"/>
          <w:sz w:val="32"/>
          <w:szCs w:val="32"/>
          <w:highlight w:val="none"/>
          <w:u w:val="none" w:color="auto"/>
          <w:shd w:val="clear" w:color="auto" w:fill="auto"/>
          <w:lang w:val="zh-CN" w:eastAsia="zh-CN"/>
        </w:rPr>
        <w:drawing>
          <wp:inline distT="0" distB="0" distL="114300" distR="114300">
            <wp:extent cx="4321175" cy="5672455"/>
            <wp:effectExtent l="0" t="0" r="3175" b="4445"/>
            <wp:docPr id="12" name="图片 12" descr="庄河市国土空间总体规划（2021-2035年）-图集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庄河市国土空间总体规划（2021-2035年）-图集_12"/>
                    <pic:cNvPicPr>
                      <a:picLocks noChangeAspect="1"/>
                    </pic:cNvPicPr>
                  </pic:nvPicPr>
                  <pic:blipFill>
                    <a:blip r:embed="rId7"/>
                    <a:srcRect l="2310" t="8035" r="2593" b="3810"/>
                    <a:stretch>
                      <a:fillRect/>
                    </a:stretch>
                  </pic:blipFill>
                  <pic:spPr>
                    <a:xfrm>
                      <a:off x="0" y="0"/>
                      <a:ext cx="4321175" cy="5672455"/>
                    </a:xfrm>
                    <a:prstGeom prst="rect">
                      <a:avLst/>
                    </a:prstGeom>
                  </pic:spPr>
                </pic:pic>
              </a:graphicData>
            </a:graphic>
          </wp:inline>
        </w:drawing>
      </w:r>
    </w:p>
    <w:p>
      <w:pPr>
        <w:jc w:val="center"/>
        <w:rPr>
          <w:rFonts w:hint="default" w:ascii="黑体" w:hAnsi="黑体" w:eastAsia="黑体" w:cs="黑体"/>
          <w:strike w:val="0"/>
          <w:dstrike w:val="0"/>
          <w:color w:val="auto"/>
          <w:sz w:val="24"/>
          <w:szCs w:val="24"/>
          <w:highlight w:val="none"/>
          <w:u w:val="none" w:color="auto"/>
          <w:lang w:val="en-US" w:eastAsia="zh-CN"/>
        </w:rPr>
      </w:pPr>
      <w:r>
        <w:rPr>
          <w:rFonts w:hint="eastAsia" w:ascii="黑体" w:hAnsi="黑体" w:eastAsia="黑体" w:cs="黑体"/>
          <w:strike w:val="0"/>
          <w:dstrike w:val="0"/>
          <w:color w:val="auto"/>
          <w:sz w:val="24"/>
          <w:szCs w:val="24"/>
          <w:highlight w:val="none"/>
          <w:u w:val="none" w:color="auto"/>
          <w:lang w:val="en-US" w:eastAsia="zh-CN"/>
        </w:rPr>
        <w:t>图3 市域综合交通现状图</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完善港口设施与集疏运网络。</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坚持港产城融合发展，升级港口设施，完善港口功能，全力推动庄河港扩大开放与能级提升。继续完善庄河港口码头建设，做好港口装卸设施和港区物流配套功能建</w:t>
      </w:r>
      <w:r>
        <w:rPr>
          <w:rFonts w:hint="eastAsia"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t>设。推进202#</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w:t>
      </w:r>
      <w:r>
        <w:rPr>
          <w:rFonts w:hint="eastAsia"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t>204#泊位升级为2万吨，推动205#</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w:t>
      </w:r>
      <w:r>
        <w:rPr>
          <w:rFonts w:hint="eastAsia"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t>206#泊位验收，</w:t>
      </w:r>
      <w:r>
        <w:rPr>
          <w:rFonts w:hint="eastAsia" w:ascii="仿宋_GB2312" w:eastAsia="仿宋_GB2312" w:cstheme="minorBidi"/>
          <w:strike w:val="0"/>
          <w:dstrike w:val="0"/>
          <w:color w:val="auto"/>
          <w:kern w:val="2"/>
          <w:sz w:val="32"/>
          <w:szCs w:val="32"/>
          <w:highlight w:val="none"/>
          <w:u w:val="none" w:color="auto"/>
          <w:shd w:val="clear" w:color="auto" w:fill="auto"/>
          <w:lang w:val="en-US" w:eastAsia="zh-CN" w:bidi="ar-SA"/>
        </w:rPr>
        <w:t>持续</w:t>
      </w:r>
      <w:r>
        <w:rPr>
          <w:rFonts w:hint="eastAsia"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t>推进庄河港新客运客滚码头和王家镇后滩客运客滚码头建设，规划建设双狮岛码头。完善多式联运衔接设施</w:t>
      </w:r>
      <w:r>
        <w:rPr>
          <w:rFonts w:hint="eastAsia" w:ascii="仿宋_GB2312" w:eastAsia="仿宋_GB2312" w:cstheme="minorBidi"/>
          <w:strike w:val="0"/>
          <w:dstrike w:val="0"/>
          <w:color w:val="auto"/>
          <w:kern w:val="2"/>
          <w:sz w:val="32"/>
          <w:szCs w:val="32"/>
          <w:highlight w:val="none"/>
          <w:u w:val="none" w:color="auto"/>
          <w:shd w:val="clear" w:color="auto" w:fill="auto"/>
          <w:lang w:val="en-US" w:eastAsia="zh-CN" w:bidi="ar-SA"/>
        </w:rPr>
        <w:t>，积极推动庄河港疏港铁路专用线开展谋划论证工作，争取将庄河至营口高速铁路尽早纳入国家铁路网建设规划。</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大力提升港口、航线和口岸服务功能。积极对接智慧口岸建设，提升口岸便利化服务水平。拓展优化海运航线网络，推动东北亚航线业务，深化与俄、日、韩、朝等国的物流合作。力争开通庄河到韩国仁川国际客滚航线，逐步加大庄河到大窑湾港的集装箱航班密度。到2030年，力争庄河港吞吐量达到500万吨、进出港旅客45万人次、进出港车辆3.5万辆次。</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400" w:type="dxa"/>
          </w:tcPr>
          <w:p>
            <w:pPr>
              <w:jc w:val="center"/>
              <w:rPr>
                <w:rFonts w:hint="eastAsia" w:ascii="黑体" w:hAnsi="黑体" w:eastAsia="黑体" w:cs="黑体"/>
                <w:strike w:val="0"/>
                <w:dstrike w:val="0"/>
                <w:color w:val="auto"/>
                <w:sz w:val="24"/>
                <w:szCs w:val="24"/>
                <w:highlight w:val="none"/>
                <w:u w:val="none" w:color="auto"/>
                <w:lang w:val="en-US" w:eastAsia="zh-CN"/>
              </w:rPr>
            </w:pPr>
            <w:r>
              <w:rPr>
                <w:rFonts w:hint="eastAsia" w:ascii="黑体" w:hAnsi="黑体" w:eastAsia="黑体" w:cs="黑体"/>
                <w:strike w:val="0"/>
                <w:dstrike w:val="0"/>
                <w:color w:val="auto"/>
                <w:sz w:val="24"/>
                <w:szCs w:val="24"/>
                <w:highlight w:val="none"/>
                <w:u w:val="none" w:color="auto"/>
                <w:lang w:val="en-US" w:eastAsia="zh-CN"/>
              </w:rPr>
              <w:t>专栏9 交通体系重点工程</w:t>
            </w:r>
          </w:p>
          <w:p>
            <w:pPr>
              <w:keepNext w:val="0"/>
              <w:keepLines w:val="0"/>
              <w:pageBreakBefore w:val="0"/>
              <w:widowControl w:val="0"/>
              <w:kinsoku/>
              <w:wordWrap/>
              <w:overflowPunct/>
              <w:topLinePunct w:val="0"/>
              <w:bidi w:val="0"/>
              <w:adjustRightInd/>
              <w:snapToGrid/>
              <w:spacing w:line="400" w:lineRule="exact"/>
              <w:textAlignment w:val="auto"/>
              <w:rPr>
                <w:rFonts w:hint="eastAsia"/>
                <w:strike w:val="0"/>
                <w:dstrike w:val="0"/>
                <w:color w:val="auto"/>
                <w:highlight w:val="none"/>
                <w:u w:val="none" w:color="auto"/>
                <w:lang w:val="en-US" w:eastAsia="zh-CN"/>
              </w:rPr>
            </w:pP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default"/>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cstheme="minorEastAsia"/>
                <w:b/>
                <w:bCs/>
                <w:strike w:val="0"/>
                <w:dstrike w:val="0"/>
                <w:color w:val="auto"/>
                <w:highlight w:val="none"/>
                <w:u w:val="none" w:color="auto"/>
                <w:lang w:val="en-US" w:eastAsia="zh-CN"/>
              </w:rPr>
              <w:t>公路工程</w:t>
            </w:r>
            <w:r>
              <w:rPr>
                <w:rFonts w:hint="eastAsia"/>
                <w:b/>
                <w:bCs/>
                <w:strike w:val="0"/>
                <w:dstrike w:val="0"/>
                <w:color w:val="auto"/>
                <w:highlight w:val="none"/>
                <w:u w:val="none" w:color="auto"/>
                <w:lang w:val="en-US" w:eastAsia="zh-CN"/>
              </w:rPr>
              <w:t>：</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深入实施“四好农村路”提升工程，</w:t>
            </w:r>
            <w:r>
              <w:rPr>
                <w:rFonts w:hint="eastAsia" w:asciiTheme="minorEastAsia" w:hAnsiTheme="minorEastAsia" w:cstheme="minorEastAsia"/>
                <w:b w:val="0"/>
                <w:bCs w:val="0"/>
                <w:strike w:val="0"/>
                <w:dstrike w:val="0"/>
                <w:color w:val="auto"/>
                <w:highlight w:val="none"/>
                <w:u w:val="none" w:color="auto"/>
                <w:lang w:val="en-US" w:eastAsia="zh-CN"/>
              </w:rPr>
              <w:t>建设</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丹东线南尖段改移工程，</w:t>
            </w:r>
            <w:r>
              <w:rPr>
                <w:rFonts w:hint="eastAsia" w:asciiTheme="minorEastAsia" w:hAnsiTheme="minorEastAsia" w:cstheme="minorEastAsia"/>
                <w:b w:val="0"/>
                <w:bCs w:val="0"/>
                <w:strike w:val="0"/>
                <w:dstrike w:val="0"/>
                <w:color w:val="auto"/>
                <w:highlight w:val="none"/>
                <w:u w:val="none" w:color="auto"/>
                <w:lang w:val="en-US" w:eastAsia="zh-CN"/>
              </w:rPr>
              <w:t>谋划</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县道X206大吴线大营至吴炉</w:t>
            </w:r>
            <w:r>
              <w:rPr>
                <w:rFonts w:hint="eastAsia" w:asciiTheme="minorEastAsia" w:hAnsiTheme="minorEastAsia" w:cstheme="minorEastAsia"/>
                <w:b w:val="0"/>
                <w:bCs w:val="0"/>
                <w:strike w:val="0"/>
                <w:dstrike w:val="0"/>
                <w:color w:val="auto"/>
                <w:highlight w:val="none"/>
                <w:u w:val="none" w:color="auto"/>
                <w:lang w:val="en-US" w:eastAsia="zh-CN"/>
              </w:rPr>
              <w:t>段</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、县道X276栗石线栗子房至花院段、县道X276栗石线花院至石咀段、县道X203庄茧线庄河至崔店段</w:t>
            </w:r>
            <w:r>
              <w:rPr>
                <w:rFonts w:hint="eastAsia" w:asciiTheme="minorEastAsia" w:hAnsiTheme="minorEastAsia" w:cstheme="minorEastAsia"/>
                <w:b w:val="0"/>
                <w:bCs w:val="0"/>
                <w:strike w:val="0"/>
                <w:dstrike w:val="0"/>
                <w:color w:val="auto"/>
                <w:highlight w:val="none"/>
                <w:u w:val="none" w:color="auto"/>
                <w:lang w:val="en-US" w:eastAsia="zh-CN"/>
              </w:rPr>
              <w:t>等路面维修改造工程。</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b w:val="0"/>
                <w:bCs w:val="0"/>
                <w:strike/>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cstheme="minorEastAsia"/>
                <w:b/>
                <w:bCs/>
                <w:strike w:val="0"/>
                <w:dstrike w:val="0"/>
                <w:color w:val="auto"/>
                <w:highlight w:val="none"/>
                <w:u w:val="none" w:color="auto"/>
                <w:lang w:val="en-US" w:eastAsia="zh-CN"/>
              </w:rPr>
              <w:t>港口能力提升工程</w:t>
            </w:r>
            <w:r>
              <w:rPr>
                <w:rFonts w:hint="eastAsia" w:asciiTheme="minorEastAsia" w:hAnsiTheme="minorEastAsia" w:eastAsiaTheme="minorEastAsia" w:cstheme="minorEastAsia"/>
                <w:b/>
                <w:bCs/>
                <w:strike w:val="0"/>
                <w:dstrike w:val="0"/>
                <w:color w:val="auto"/>
                <w:highlight w:val="none"/>
                <w:u w:val="none" w:color="auto"/>
                <w:lang w:val="en-US" w:eastAsia="zh-CN"/>
              </w:rPr>
              <w:t>：</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规划庄河港设备升级改造工程、庄河港将军石作业区301#－303#通用泊位工程，谋划庄河港危化品码头建设工程、庄河陆岛运输集约化升级改造项目。</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default"/>
                <w:b w:val="0"/>
                <w:bCs w:val="0"/>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highlight w:val="none"/>
                <w:u w:val="none" w:color="auto"/>
                <w:lang w:val="en-US" w:eastAsia="zh-CN"/>
              </w:rPr>
              <w:t>机场工程：</w:t>
            </w:r>
            <w:r>
              <w:rPr>
                <w:rFonts w:hint="eastAsia"/>
                <w:b w:val="0"/>
                <w:bCs w:val="0"/>
                <w:strike w:val="0"/>
                <w:dstrike w:val="0"/>
                <w:color w:val="auto"/>
                <w:highlight w:val="none"/>
                <w:u w:val="none" w:color="auto"/>
                <w:lang w:val="en-US" w:eastAsia="zh-CN"/>
              </w:rPr>
              <w:t>庄河机场还建项目。</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strike w:val="0"/>
                <w:dstrike w:val="0"/>
                <w:color w:val="auto"/>
                <w:highlight w:val="none"/>
                <w:u w:val="none" w:color="auto"/>
                <w:shd w:val="clear" w:color="auto" w:fill="auto"/>
                <w:vertAlign w:val="baseline"/>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cstheme="minorEastAsia"/>
                <w:b/>
                <w:bCs/>
                <w:strike w:val="0"/>
                <w:dstrike w:val="0"/>
                <w:color w:val="auto"/>
                <w:highlight w:val="none"/>
                <w:u w:val="none" w:color="auto"/>
                <w:lang w:val="en-US" w:eastAsia="zh-CN"/>
              </w:rPr>
              <w:t>铁路工程</w:t>
            </w:r>
            <w:r>
              <w:rPr>
                <w:rFonts w:hint="eastAsia" w:asciiTheme="minorEastAsia" w:hAnsiTheme="minorEastAsia" w:eastAsiaTheme="minorEastAsia" w:cstheme="minorEastAsia"/>
                <w:b/>
                <w:bCs/>
                <w:strike w:val="0"/>
                <w:dstrike w:val="0"/>
                <w:color w:val="auto"/>
                <w:highlight w:val="none"/>
                <w:u w:val="none" w:color="auto"/>
                <w:lang w:val="en-US" w:eastAsia="zh-CN"/>
              </w:rPr>
              <w:t>：</w:t>
            </w:r>
            <w:r>
              <w:rPr>
                <w:rFonts w:hint="eastAsia"/>
                <w:b w:val="0"/>
                <w:bCs w:val="0"/>
                <w:strike w:val="0"/>
                <w:dstrike w:val="0"/>
                <w:color w:val="auto"/>
                <w:highlight w:val="none"/>
                <w:u w:val="none" w:color="auto"/>
                <w:lang w:val="en-US" w:eastAsia="zh-CN"/>
              </w:rPr>
              <w:t>庄河疏港铁路专用线、庄河电厂铁路专用线开展谋划论证工作。</w:t>
            </w:r>
          </w:p>
        </w:tc>
      </w:tr>
    </w:tbl>
    <w:p>
      <w:pPr>
        <w:pStyle w:val="4"/>
        <w:pageBreakBefore w:val="0"/>
        <w:widowControl w:val="0"/>
        <w:kinsoku/>
        <w:wordWrap/>
        <w:overflowPunct/>
        <w:topLinePunct w:val="0"/>
        <w:autoSpaceDE/>
        <w:autoSpaceDN/>
        <w:bidi w:val="0"/>
        <w:spacing w:line="600" w:lineRule="exact"/>
        <w:textAlignment w:val="auto"/>
        <w:rPr>
          <w:rFonts w:hint="eastAsia"/>
          <w:strike w:val="0"/>
          <w:dstrike w:val="0"/>
          <w:color w:val="auto"/>
          <w:highlight w:val="none"/>
          <w:u w:val="none" w:color="auto"/>
          <w:shd w:val="clear" w:color="auto" w:fill="auto"/>
          <w:lang w:val="en-US" w:eastAsia="zh-CN"/>
        </w:rPr>
      </w:pPr>
      <w:bookmarkStart w:id="140" w:name="_Toc1248576776"/>
      <w:r>
        <w:rPr>
          <w:rFonts w:hint="eastAsia"/>
          <w:strike w:val="0"/>
          <w:dstrike w:val="0"/>
          <w:color w:val="auto"/>
          <w:highlight w:val="none"/>
          <w:u w:val="none" w:color="auto"/>
          <w:shd w:val="clear" w:color="auto" w:fill="auto"/>
          <w:lang w:val="en-US" w:eastAsia="zh-CN"/>
        </w:rPr>
        <w:t>第二节 提升现代化水网建设水平</w:t>
      </w:r>
      <w:bookmarkEnd w:id="140"/>
      <w:r>
        <w:rPr>
          <w:rFonts w:hint="eastAsia"/>
          <w:strike w:val="0"/>
          <w:dstrike w:val="0"/>
          <w:color w:val="auto"/>
          <w:highlight w:val="none"/>
          <w:u w:val="none" w:color="auto"/>
          <w:shd w:val="clear" w:color="auto" w:fill="auto"/>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Times New Roman" w:hAnsi="Times New Roman" w:eastAsia="仿宋_GB2312" w:cs="Times New Roman"/>
          <w:b/>
          <w:bCs/>
          <w:strike w:val="0"/>
          <w:dstrike w:val="0"/>
          <w:color w:val="auto"/>
          <w:sz w:val="32"/>
          <w:szCs w:val="32"/>
          <w:highlight w:val="none"/>
          <w:u w:val="none" w:color="auto"/>
          <w:shd w:val="clear" w:color="auto" w:fill="auto"/>
          <w:lang w:val="en-US" w:eastAsia="zh-CN"/>
        </w:rPr>
      </w:pPr>
      <w:r>
        <w:rPr>
          <w:rFonts w:hint="eastAsia" w:ascii="Times New Roman" w:hAnsi="Times New Roman" w:eastAsia="仿宋_GB2312" w:cs="Times New Roman"/>
          <w:b/>
          <w:bCs/>
          <w:strike w:val="0"/>
          <w:dstrike w:val="0"/>
          <w:color w:val="auto"/>
          <w:sz w:val="32"/>
          <w:szCs w:val="32"/>
          <w:highlight w:val="none"/>
          <w:u w:val="none" w:color="auto"/>
          <w:shd w:val="clear" w:color="auto" w:fill="auto"/>
          <w:lang w:val="en-US" w:eastAsia="zh-CN"/>
        </w:rPr>
        <w:t>补齐防洪排涝减灾短板弱项。</w:t>
      </w:r>
      <w:r>
        <w:rPr>
          <w:rFonts w:hint="default" w:ascii="Times New Roman" w:hAnsi="Times New Roman" w:eastAsia="仿宋_GB2312" w:cs="Times New Roman"/>
          <w:b w:val="0"/>
          <w:bCs w:val="0"/>
          <w:strike w:val="0"/>
          <w:dstrike w:val="0"/>
          <w:color w:val="auto"/>
          <w:sz w:val="32"/>
          <w:szCs w:val="32"/>
          <w:highlight w:val="none"/>
          <w:u w:val="none" w:color="auto"/>
          <w:shd w:val="clear" w:color="auto" w:fill="auto"/>
          <w:lang w:val="en-US" w:eastAsia="zh-CN"/>
        </w:rPr>
        <w:t>通过重点河道防洪能力提升、中小河流治理、病险水库</w:t>
      </w:r>
      <w:r>
        <w:rPr>
          <w:rFonts w:hint="eastAsia" w:ascii="Times New Roman" w:hAnsi="Times New Roman" w:eastAsia="仿宋_GB2312" w:cs="Times New Roman"/>
          <w:b w:val="0"/>
          <w:bCs w:val="0"/>
          <w:strike w:val="0"/>
          <w:dstrike w:val="0"/>
          <w:color w:val="auto"/>
          <w:sz w:val="32"/>
          <w:szCs w:val="32"/>
          <w:highlight w:val="none"/>
          <w:u w:val="none" w:color="auto"/>
          <w:shd w:val="clear" w:color="auto" w:fill="auto"/>
          <w:lang w:val="en-US" w:eastAsia="zh-CN"/>
        </w:rPr>
        <w:t>和</w:t>
      </w:r>
      <w:r>
        <w:rPr>
          <w:rFonts w:hint="default" w:ascii="Times New Roman" w:hAnsi="Times New Roman" w:eastAsia="仿宋_GB2312" w:cs="Times New Roman"/>
          <w:b w:val="0"/>
          <w:bCs w:val="0"/>
          <w:strike w:val="0"/>
          <w:dstrike w:val="0"/>
          <w:color w:val="auto"/>
          <w:sz w:val="32"/>
          <w:szCs w:val="32"/>
          <w:highlight w:val="none"/>
          <w:u w:val="none" w:color="auto"/>
          <w:shd w:val="clear" w:color="auto" w:fill="auto"/>
          <w:lang w:val="en-US" w:eastAsia="zh-CN"/>
        </w:rPr>
        <w:t>水闸除险加固、防潮排涝工程建设及山洪灾害防治等工程措施</w:t>
      </w:r>
      <w:r>
        <w:rPr>
          <w:rFonts w:hint="eastAsia" w:ascii="Times New Roman" w:hAnsi="Times New Roman" w:eastAsia="仿宋_GB2312" w:cs="Times New Roman"/>
          <w:b w:val="0"/>
          <w:bCs w:val="0"/>
          <w:strike w:val="0"/>
          <w:dstrike w:val="0"/>
          <w:color w:val="auto"/>
          <w:sz w:val="32"/>
          <w:szCs w:val="32"/>
          <w:highlight w:val="none"/>
          <w:u w:val="none" w:color="auto"/>
          <w:shd w:val="clear" w:color="auto" w:fill="auto"/>
          <w:lang w:val="en-US" w:eastAsia="zh-CN"/>
        </w:rPr>
        <w:t>，进一步完善“库、河、堤”防洪</w:t>
      </w:r>
      <w:r>
        <w:rPr>
          <w:rFonts w:hint="default" w:ascii="Times New Roman" w:hAnsi="Times New Roman" w:eastAsia="仿宋_GB2312" w:cs="Times New Roman"/>
          <w:b w:val="0"/>
          <w:bCs w:val="0"/>
          <w:strike w:val="0"/>
          <w:dstrike w:val="0"/>
          <w:color w:val="auto"/>
          <w:sz w:val="32"/>
          <w:szCs w:val="32"/>
          <w:highlight w:val="none"/>
          <w:u w:val="none" w:color="auto"/>
          <w:shd w:val="clear" w:color="auto" w:fill="auto"/>
          <w:lang w:val="en-US" w:eastAsia="zh-CN"/>
        </w:rPr>
        <w:t>排涝</w:t>
      </w:r>
      <w:r>
        <w:rPr>
          <w:rFonts w:hint="eastAsia" w:ascii="Times New Roman" w:hAnsi="Times New Roman" w:eastAsia="仿宋_GB2312" w:cs="Times New Roman"/>
          <w:b w:val="0"/>
          <w:bCs w:val="0"/>
          <w:strike w:val="0"/>
          <w:dstrike w:val="0"/>
          <w:color w:val="auto"/>
          <w:sz w:val="32"/>
          <w:szCs w:val="32"/>
          <w:highlight w:val="none"/>
          <w:u w:val="none" w:color="auto"/>
          <w:shd w:val="clear" w:color="auto" w:fill="auto"/>
          <w:lang w:val="en-US" w:eastAsia="zh-CN"/>
        </w:rPr>
        <w:t>工程体系。科学提升洪涝灾害防御工程标准，</w:t>
      </w:r>
      <w:r>
        <w:rPr>
          <w:rFonts w:hint="default" w:ascii="Times New Roman" w:hAnsi="Times New Roman" w:eastAsia="仿宋_GB2312" w:cs="Times New Roman"/>
          <w:b w:val="0"/>
          <w:bCs w:val="0"/>
          <w:strike w:val="0"/>
          <w:dstrike w:val="0"/>
          <w:color w:val="auto"/>
          <w:sz w:val="32"/>
          <w:szCs w:val="32"/>
          <w:highlight w:val="none"/>
          <w:u w:val="none" w:color="auto"/>
          <w:shd w:val="clear" w:color="auto" w:fill="auto"/>
          <w:lang w:val="en-US" w:eastAsia="zh-CN"/>
        </w:rPr>
        <w:t>确保城乡及重要基础设施防洪安全。</w:t>
      </w:r>
      <w:r>
        <w:rPr>
          <w:rFonts w:hint="eastAsia" w:ascii="Times New Roman" w:hAnsi="Times New Roman" w:eastAsia="仿宋_GB2312" w:cs="Times New Roman"/>
          <w:b w:val="0"/>
          <w:bCs w:val="0"/>
          <w:strike w:val="0"/>
          <w:dstrike w:val="0"/>
          <w:color w:val="auto"/>
          <w:sz w:val="32"/>
          <w:szCs w:val="32"/>
          <w:highlight w:val="none"/>
          <w:u w:val="none" w:color="auto"/>
          <w:shd w:val="clear" w:color="auto" w:fill="auto"/>
          <w:lang w:val="en-US" w:eastAsia="zh-CN"/>
        </w:rPr>
        <w:t>城区防洪达标率达到</w:t>
      </w:r>
      <w:r>
        <w:rPr>
          <w:rFonts w:hint="eastAsia"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t>100%，5级及</w:t>
      </w:r>
      <w:r>
        <w:rPr>
          <w:rFonts w:hint="eastAsia" w:ascii="Times New Roman" w:hAnsi="Times New Roman" w:eastAsia="仿宋_GB2312" w:cs="Times New Roman"/>
          <w:b w:val="0"/>
          <w:bCs w:val="0"/>
          <w:strike w:val="0"/>
          <w:dstrike w:val="0"/>
          <w:color w:val="auto"/>
          <w:sz w:val="32"/>
          <w:szCs w:val="32"/>
          <w:highlight w:val="none"/>
          <w:u w:val="none" w:color="auto"/>
          <w:shd w:val="clear" w:color="auto" w:fill="auto"/>
          <w:lang w:val="en-US" w:eastAsia="zh-CN"/>
        </w:rPr>
        <w:t>以上重点河堤防洪达标率超过</w:t>
      </w:r>
      <w:r>
        <w:rPr>
          <w:rFonts w:hint="eastAsia"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t>90%，</w:t>
      </w:r>
      <w:r>
        <w:rPr>
          <w:rFonts w:hint="eastAsia" w:ascii="Times New Roman" w:hAnsi="Times New Roman" w:eastAsia="仿宋_GB2312" w:cs="Times New Roman"/>
          <w:b w:val="0"/>
          <w:bCs w:val="0"/>
          <w:strike w:val="0"/>
          <w:dstrike w:val="0"/>
          <w:color w:val="auto"/>
          <w:sz w:val="32"/>
          <w:szCs w:val="32"/>
          <w:highlight w:val="none"/>
          <w:u w:val="none" w:color="auto"/>
          <w:shd w:val="clear" w:color="auto" w:fill="auto"/>
          <w:lang w:val="en-US" w:eastAsia="zh-CN"/>
        </w:rPr>
        <w:t>病险水库、水闸实现动态清零。</w:t>
      </w:r>
      <w:r>
        <w:rPr>
          <w:rFonts w:hint="default" w:ascii="Times New Roman" w:hAnsi="Times New Roman" w:eastAsia="仿宋_GB2312" w:cs="Times New Roman"/>
          <w:b w:val="0"/>
          <w:bCs w:val="0"/>
          <w:strike w:val="0"/>
          <w:dstrike w:val="0"/>
          <w:color w:val="auto"/>
          <w:sz w:val="32"/>
          <w:szCs w:val="32"/>
          <w:highlight w:val="none"/>
          <w:u w:val="none" w:color="auto"/>
          <w:shd w:val="clear" w:color="auto" w:fill="auto"/>
          <w:lang w:val="en-US" w:eastAsia="zh-CN"/>
        </w:rPr>
        <w:t>系统构建监测预报、预警响应、预案预演</w:t>
      </w:r>
      <w:r>
        <w:rPr>
          <w:rFonts w:hint="eastAsia" w:ascii="Times New Roman" w:hAnsi="Times New Roman" w:eastAsia="仿宋_GB2312" w:cs="Times New Roman"/>
          <w:b w:val="0"/>
          <w:bCs w:val="0"/>
          <w:strike w:val="0"/>
          <w:dstrike w:val="0"/>
          <w:color w:val="auto"/>
          <w:sz w:val="32"/>
          <w:szCs w:val="32"/>
          <w:highlight w:val="none"/>
          <w:u w:val="none" w:color="auto"/>
          <w:shd w:val="clear" w:color="auto" w:fill="auto"/>
          <w:lang w:val="en-US" w:eastAsia="zh-CN"/>
        </w:rPr>
        <w:t>和风险管理一体化</w:t>
      </w:r>
      <w:r>
        <w:rPr>
          <w:rFonts w:hint="default" w:ascii="Times New Roman" w:hAnsi="Times New Roman" w:eastAsia="仿宋_GB2312" w:cs="Times New Roman"/>
          <w:b w:val="0"/>
          <w:bCs w:val="0"/>
          <w:strike w:val="0"/>
          <w:dstrike w:val="0"/>
          <w:color w:val="auto"/>
          <w:sz w:val="32"/>
          <w:szCs w:val="32"/>
          <w:highlight w:val="none"/>
          <w:u w:val="none" w:color="auto"/>
          <w:shd w:val="clear" w:color="auto" w:fill="auto"/>
          <w:lang w:val="en-US" w:eastAsia="zh-CN"/>
        </w:rPr>
        <w:t>灾害防御体系，全面提升洪涝灾害防御水平和超标准洪水应对能力</w:t>
      </w:r>
      <w:r>
        <w:rPr>
          <w:rFonts w:hint="eastAsia" w:ascii="Times New Roman" w:hAnsi="Times New Roman" w:eastAsia="仿宋_GB2312" w:cs="Times New Roman"/>
          <w:b w:val="0"/>
          <w:bCs w:val="0"/>
          <w:strike w:val="0"/>
          <w:dstrike w:val="0"/>
          <w:color w:val="auto"/>
          <w:sz w:val="32"/>
          <w:szCs w:val="32"/>
          <w:highlight w:val="none"/>
          <w:u w:val="none" w:color="auto"/>
          <w:shd w:val="clear" w:color="auto" w:fill="auto"/>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pPr>
      <w:r>
        <w:rPr>
          <w:rFonts w:hint="eastAsia" w:ascii="Times New Roman" w:hAnsi="Times New Roman" w:eastAsia="仿宋_GB2312" w:cs="Times New Roman"/>
          <w:b/>
          <w:bCs/>
          <w:strike w:val="0"/>
          <w:dstrike w:val="0"/>
          <w:color w:val="auto"/>
          <w:sz w:val="32"/>
          <w:szCs w:val="32"/>
          <w:highlight w:val="none"/>
          <w:u w:val="none" w:color="auto"/>
          <w:shd w:val="clear" w:color="auto" w:fill="auto"/>
          <w:lang w:val="en-US" w:eastAsia="zh-CN"/>
        </w:rPr>
        <w:t>提升水资源优化配置与供水保障能力。</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推动水资源承载能力与人口、经济、产业布局相适配，构建“外调水、本地水、再生水”多水源配置格局。实施灌区现代化建设与改造，完善农田灌排工程体系。全面推行城乡供水一体化、集中供水规模化、小型供水规范化、县域统管专业化</w:t>
      </w:r>
      <w:r>
        <w:rPr>
          <w:rFonts w:hint="eastAsia"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t>“3</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w:t>
      </w:r>
      <w:r>
        <w:rPr>
          <w:rFonts w:hint="eastAsia"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t>1”</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标准化建设和管护模式，完成由农村饮水安全到城乡一体化供水保障的根本转变，农村规模化供水工程人口覆盖率达到</w:t>
      </w:r>
      <w:r>
        <w:rPr>
          <w:rFonts w:hint="eastAsia"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t>80%</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以上。提升水务精细化管理效能。建设庄河灌区、城乡一体化供水调度中心，基本形成多水源、多目标、多功能的“四预”数字孪生水利体系，重大水务工程数字孪生化率超过</w:t>
      </w:r>
      <w:r>
        <w:rPr>
          <w:rFonts w:hint="eastAsia"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t>80%，用水计量率超过95%。</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00" w:type="dxa"/>
          </w:tcPr>
          <w:p>
            <w:pPr>
              <w:jc w:val="center"/>
              <w:rPr>
                <w:rFonts w:hint="eastAsia"/>
                <w:strike w:val="0"/>
                <w:dstrike w:val="0"/>
                <w:color w:val="auto"/>
                <w:highlight w:val="none"/>
                <w:u w:val="none" w:color="auto"/>
                <w:shd w:val="clear" w:color="auto" w:fill="auto"/>
                <w:vertAlign w:val="baseline"/>
                <w:lang w:val="en-US" w:eastAsia="zh-CN"/>
              </w:rPr>
            </w:pPr>
            <w:r>
              <w:rPr>
                <w:rFonts w:hint="eastAsia" w:ascii="黑体" w:hAnsi="黑体" w:eastAsia="黑体" w:cs="黑体"/>
                <w:strike w:val="0"/>
                <w:dstrike w:val="0"/>
                <w:color w:val="auto"/>
                <w:sz w:val="24"/>
                <w:szCs w:val="24"/>
                <w:highlight w:val="none"/>
                <w:u w:val="none" w:color="auto"/>
                <w:lang w:val="en-US" w:eastAsia="zh-CN"/>
              </w:rPr>
              <w:t>专栏10 水网体系重点工程</w:t>
            </w:r>
          </w:p>
          <w:p>
            <w:pPr>
              <w:keepNext w:val="0"/>
              <w:keepLines w:val="0"/>
              <w:pageBreakBefore w:val="0"/>
              <w:widowControl w:val="0"/>
              <w:kinsoku/>
              <w:wordWrap/>
              <w:overflowPunct/>
              <w:topLinePunct w:val="0"/>
              <w:bidi w:val="0"/>
              <w:adjustRightInd/>
              <w:snapToGrid/>
              <w:spacing w:line="400" w:lineRule="exact"/>
              <w:ind w:firstLine="421" w:firstLineChars="200"/>
              <w:textAlignment w:val="auto"/>
              <w:rPr>
                <w:rFonts w:hint="eastAsia"/>
                <w:b/>
                <w:bCs/>
                <w:strike w:val="0"/>
                <w:dstrike w:val="0"/>
                <w:color w:val="auto"/>
                <w:highlight w:val="none"/>
                <w:u w:val="none" w:color="auto"/>
                <w:lang w:val="en-US" w:eastAsia="zh-CN"/>
              </w:rPr>
            </w:pP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default"/>
                <w:b w:val="0"/>
                <w:bCs w:val="0"/>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b/>
                <w:bCs/>
                <w:strike w:val="0"/>
                <w:dstrike w:val="0"/>
                <w:color w:val="auto"/>
                <w:highlight w:val="none"/>
                <w:u w:val="none" w:color="auto"/>
                <w:lang w:val="en-US" w:eastAsia="zh-CN"/>
              </w:rPr>
              <w:t>防洪排涝减灾重点工程：</w:t>
            </w:r>
            <w:r>
              <w:rPr>
                <w:rFonts w:hint="eastAsia"/>
                <w:b w:val="0"/>
                <w:bCs w:val="0"/>
                <w:strike w:val="0"/>
                <w:dstrike w:val="0"/>
                <w:color w:val="auto"/>
                <w:highlight w:val="none"/>
                <w:u w:val="none" w:color="auto"/>
                <w:lang w:val="en-US" w:eastAsia="zh-CN"/>
              </w:rPr>
              <w:t>英那河河道治理工程、三岔河综合治理工程、庄河市防潮堤加固治理工程、金家房河山洪沟治理工程</w:t>
            </w:r>
            <w:r>
              <w:rPr>
                <w:rFonts w:hint="default"/>
                <w:b w:val="0"/>
                <w:bCs w:val="0"/>
                <w:strike w:val="0"/>
                <w:dstrike w:val="0"/>
                <w:color w:val="auto"/>
                <w:highlight w:val="none"/>
                <w:u w:val="none" w:color="auto"/>
                <w:lang w:val="en-US" w:eastAsia="zh-CN"/>
              </w:rPr>
              <w:t>、湖里河涝区治理</w:t>
            </w:r>
            <w:r>
              <w:rPr>
                <w:rFonts w:hint="eastAsia"/>
                <w:b w:val="0"/>
                <w:bCs w:val="0"/>
                <w:strike w:val="0"/>
                <w:dstrike w:val="0"/>
                <w:color w:val="auto"/>
                <w:highlight w:val="none"/>
                <w:u w:val="none" w:color="auto"/>
                <w:lang w:val="en-US" w:eastAsia="zh-CN"/>
              </w:rPr>
              <w:t>工程。</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default"/>
                <w:b w:val="0"/>
                <w:bCs w:val="0"/>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default"/>
                <w:b/>
                <w:bCs/>
                <w:strike w:val="0"/>
                <w:dstrike w:val="0"/>
                <w:color w:val="auto"/>
                <w:highlight w:val="none"/>
                <w:u w:val="none" w:color="auto"/>
                <w:lang w:val="en-US" w:eastAsia="zh-CN"/>
              </w:rPr>
              <w:t>水资源配置与供水保障能力</w:t>
            </w:r>
            <w:r>
              <w:rPr>
                <w:rFonts w:hint="eastAsia"/>
                <w:b/>
                <w:bCs/>
                <w:strike w:val="0"/>
                <w:dstrike w:val="0"/>
                <w:color w:val="auto"/>
                <w:highlight w:val="none"/>
                <w:u w:val="none" w:color="auto"/>
                <w:lang w:val="en-US" w:eastAsia="zh-CN"/>
              </w:rPr>
              <w:t>重点工程：</w:t>
            </w:r>
            <w:r>
              <w:rPr>
                <w:rFonts w:hint="default"/>
                <w:b w:val="0"/>
                <w:bCs w:val="0"/>
                <w:strike w:val="0"/>
                <w:dstrike w:val="0"/>
                <w:color w:val="auto"/>
                <w:highlight w:val="none"/>
                <w:u w:val="none" w:color="auto"/>
                <w:lang w:val="en-US" w:eastAsia="zh-CN"/>
              </w:rPr>
              <w:t>庄河中部供水工程（</w:t>
            </w:r>
            <w:r>
              <w:rPr>
                <w:rFonts w:hint="eastAsia"/>
                <w:b w:val="0"/>
                <w:bCs w:val="0"/>
                <w:strike w:val="0"/>
                <w:dstrike w:val="0"/>
                <w:color w:val="auto"/>
                <w:highlight w:val="none"/>
                <w:u w:val="none" w:color="auto"/>
                <w:lang w:val="en-US" w:eastAsia="zh-CN"/>
              </w:rPr>
              <w:t>二</w:t>
            </w:r>
            <w:r>
              <w:rPr>
                <w:rFonts w:hint="default"/>
                <w:b w:val="0"/>
                <w:bCs w:val="0"/>
                <w:strike w:val="0"/>
                <w:dstrike w:val="0"/>
                <w:color w:val="auto"/>
                <w:highlight w:val="none"/>
                <w:u w:val="none" w:color="auto"/>
                <w:lang w:val="en-US" w:eastAsia="zh-CN"/>
              </w:rPr>
              <w:t>期）、庄河中部供水工程（</w:t>
            </w:r>
            <w:r>
              <w:rPr>
                <w:rFonts w:hint="eastAsia"/>
                <w:b w:val="0"/>
                <w:bCs w:val="0"/>
                <w:strike w:val="0"/>
                <w:dstrike w:val="0"/>
                <w:color w:val="auto"/>
                <w:highlight w:val="none"/>
                <w:u w:val="none" w:color="auto"/>
                <w:lang w:val="en-US" w:eastAsia="zh-CN"/>
              </w:rPr>
              <w:t>三</w:t>
            </w:r>
            <w:r>
              <w:rPr>
                <w:rFonts w:hint="default"/>
                <w:b w:val="0"/>
                <w:bCs w:val="0"/>
                <w:strike w:val="0"/>
                <w:dstrike w:val="0"/>
                <w:color w:val="auto"/>
                <w:highlight w:val="none"/>
                <w:u w:val="none" w:color="auto"/>
                <w:lang w:val="en-US" w:eastAsia="zh-CN"/>
              </w:rPr>
              <w:t>期）</w:t>
            </w:r>
            <w:r>
              <w:rPr>
                <w:rFonts w:hint="eastAsia"/>
                <w:b w:val="0"/>
                <w:bCs w:val="0"/>
                <w:strike w:val="0"/>
                <w:dstrike w:val="0"/>
                <w:color w:val="auto"/>
                <w:highlight w:val="none"/>
                <w:u w:val="none" w:color="auto"/>
                <w:lang w:val="en-US" w:eastAsia="zh-CN"/>
              </w:rPr>
              <w:t>、</w:t>
            </w:r>
            <w:r>
              <w:rPr>
                <w:rFonts w:hint="default"/>
                <w:b w:val="0"/>
                <w:bCs w:val="0"/>
                <w:strike w:val="0"/>
                <w:dstrike w:val="0"/>
                <w:color w:val="auto"/>
                <w:highlight w:val="none"/>
                <w:u w:val="none" w:color="auto"/>
                <w:lang w:val="en-US" w:eastAsia="zh-CN"/>
              </w:rPr>
              <w:t>庄河中部海岛供水</w:t>
            </w:r>
            <w:r>
              <w:rPr>
                <w:rFonts w:hint="eastAsia"/>
                <w:b w:val="0"/>
                <w:bCs w:val="0"/>
                <w:strike w:val="0"/>
                <w:dstrike w:val="0"/>
                <w:color w:val="auto"/>
                <w:highlight w:val="none"/>
                <w:u w:val="none" w:color="auto"/>
                <w:lang w:val="en-US" w:eastAsia="zh-CN"/>
              </w:rPr>
              <w:t>工程</w:t>
            </w:r>
            <w:r>
              <w:rPr>
                <w:rFonts w:hint="default"/>
                <w:b w:val="0"/>
                <w:bCs w:val="0"/>
                <w:strike w:val="0"/>
                <w:dstrike w:val="0"/>
                <w:color w:val="auto"/>
                <w:highlight w:val="none"/>
                <w:u w:val="none" w:color="auto"/>
                <w:lang w:val="en-US" w:eastAsia="zh-CN"/>
              </w:rPr>
              <w:t>、</w:t>
            </w:r>
            <w:r>
              <w:rPr>
                <w:rFonts w:hint="eastAsia"/>
                <w:b w:val="0"/>
                <w:bCs w:val="0"/>
                <w:strike w:val="0"/>
                <w:dstrike w:val="0"/>
                <w:color w:val="auto"/>
                <w:highlight w:val="none"/>
                <w:u w:val="none" w:color="auto"/>
                <w:lang w:val="en-US" w:eastAsia="zh-CN"/>
              </w:rPr>
              <w:t>庄河市城市供水老旧管网及设施更新改造工程、青堆净水厂管网延伸工程（一期）、庄河灌区续建配套与现代化改造工程（二期）、</w:t>
            </w:r>
            <w:r>
              <w:rPr>
                <w:rFonts w:hint="default"/>
                <w:b w:val="0"/>
                <w:bCs w:val="0"/>
                <w:strike w:val="0"/>
                <w:dstrike w:val="0"/>
                <w:color w:val="auto"/>
                <w:highlight w:val="none"/>
                <w:u w:val="none" w:color="auto"/>
                <w:lang w:val="en-US" w:eastAsia="zh-CN"/>
              </w:rPr>
              <w:t>双胜灌区续建配套与节水改造</w:t>
            </w:r>
            <w:r>
              <w:rPr>
                <w:rFonts w:hint="eastAsia"/>
                <w:b w:val="0"/>
                <w:bCs w:val="0"/>
                <w:strike w:val="0"/>
                <w:dstrike w:val="0"/>
                <w:color w:val="auto"/>
                <w:highlight w:val="none"/>
                <w:u w:val="none" w:color="auto"/>
                <w:lang w:val="en-US" w:eastAsia="zh-CN"/>
              </w:rPr>
              <w:t>工程。</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b w:val="0"/>
                <w:bCs w:val="0"/>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b/>
                <w:bCs/>
                <w:strike w:val="0"/>
                <w:dstrike w:val="0"/>
                <w:color w:val="auto"/>
                <w:highlight w:val="none"/>
                <w:u w:val="none" w:color="auto"/>
                <w:lang w:val="en-US" w:eastAsia="zh-CN"/>
              </w:rPr>
              <w:t>完善水生态保护治理工程：</w:t>
            </w:r>
            <w:r>
              <w:rPr>
                <w:rFonts w:hint="eastAsia"/>
                <w:b w:val="0"/>
                <w:bCs w:val="0"/>
                <w:strike w:val="0"/>
                <w:dstrike w:val="0"/>
                <w:color w:val="auto"/>
                <w:highlight w:val="none"/>
                <w:u w:val="none" w:color="auto"/>
                <w:lang w:val="en-US" w:eastAsia="zh-CN"/>
              </w:rPr>
              <w:t>庄河水生态保护修复工程、鞍子山乡鞍子山村河小流域综合治理工程、庄河西支源头小流域综合治理工程、土桥河小流域综合治理工程、佟屯河小流域综合治理工程、响水河小流域综合治理工程、洪昌河小流域综合治理工程。</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strike w:val="0"/>
                <w:dstrike w:val="0"/>
                <w:color w:val="auto"/>
                <w:highlight w:val="none"/>
                <w:u w:val="none" w:color="auto"/>
                <w:shd w:val="clear" w:color="auto" w:fill="auto"/>
                <w:vertAlign w:val="baseline"/>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b/>
                <w:bCs/>
                <w:strike w:val="0"/>
                <w:dstrike w:val="0"/>
                <w:color w:val="auto"/>
                <w:highlight w:val="none"/>
                <w:u w:val="none" w:color="auto"/>
                <w:lang w:val="en-US" w:eastAsia="zh-CN"/>
              </w:rPr>
              <w:t>智慧水务重点工程：</w:t>
            </w:r>
            <w:r>
              <w:rPr>
                <w:rFonts w:hint="eastAsia"/>
                <w:b w:val="0"/>
                <w:bCs w:val="0"/>
                <w:strike w:val="0"/>
                <w:dstrike w:val="0"/>
                <w:color w:val="auto"/>
                <w:highlight w:val="none"/>
                <w:u w:val="none" w:color="auto"/>
                <w:lang w:val="en-US" w:eastAsia="zh-CN"/>
              </w:rPr>
              <w:t>谋划</w:t>
            </w:r>
            <w:r>
              <w:rPr>
                <w:rFonts w:hint="default"/>
                <w:b w:val="0"/>
                <w:bCs w:val="0"/>
                <w:strike w:val="0"/>
                <w:dstrike w:val="0"/>
                <w:color w:val="auto"/>
                <w:highlight w:val="none"/>
                <w:u w:val="none" w:color="auto"/>
                <w:lang w:val="en-US" w:eastAsia="zh-CN"/>
              </w:rPr>
              <w:t>庄河灌区</w:t>
            </w:r>
            <w:r>
              <w:rPr>
                <w:rFonts w:hint="eastAsia"/>
                <w:b w:val="0"/>
                <w:bCs w:val="0"/>
                <w:strike w:val="0"/>
                <w:dstrike w:val="0"/>
                <w:color w:val="auto"/>
                <w:highlight w:val="none"/>
                <w:u w:val="none" w:color="auto"/>
                <w:lang w:val="en-US" w:eastAsia="zh-CN"/>
              </w:rPr>
              <w:t>信息化平台</w:t>
            </w:r>
            <w:r>
              <w:rPr>
                <w:rFonts w:hint="default"/>
                <w:b w:val="0"/>
                <w:bCs w:val="0"/>
                <w:strike w:val="0"/>
                <w:dstrike w:val="0"/>
                <w:color w:val="auto"/>
                <w:highlight w:val="none"/>
                <w:u w:val="none" w:color="auto"/>
                <w:lang w:val="en-US" w:eastAsia="zh-CN"/>
              </w:rPr>
              <w:t>、城乡一体化供水调度</w:t>
            </w:r>
            <w:r>
              <w:rPr>
                <w:rFonts w:hint="eastAsia"/>
                <w:b w:val="0"/>
                <w:bCs w:val="0"/>
                <w:strike w:val="0"/>
                <w:dstrike w:val="0"/>
                <w:color w:val="auto"/>
                <w:highlight w:val="none"/>
                <w:u w:val="none" w:color="auto"/>
                <w:lang w:val="en-US" w:eastAsia="zh-CN"/>
              </w:rPr>
              <w:t>平台。</w:t>
            </w:r>
          </w:p>
        </w:tc>
      </w:tr>
    </w:tbl>
    <w:p>
      <w:pPr>
        <w:pStyle w:val="4"/>
        <w:pageBreakBefore w:val="0"/>
        <w:widowControl w:val="0"/>
        <w:kinsoku/>
        <w:wordWrap/>
        <w:overflowPunct/>
        <w:topLinePunct w:val="0"/>
        <w:autoSpaceDE/>
        <w:autoSpaceDN/>
        <w:bidi w:val="0"/>
        <w:spacing w:line="600" w:lineRule="exact"/>
        <w:textAlignment w:val="auto"/>
        <w:rPr>
          <w:rFonts w:hint="eastAsia"/>
          <w:strike w:val="0"/>
          <w:dstrike w:val="0"/>
          <w:color w:val="auto"/>
          <w:highlight w:val="none"/>
          <w:u w:val="none" w:color="auto"/>
          <w:shd w:val="clear" w:color="auto" w:fill="auto"/>
          <w:lang w:val="en-US" w:eastAsia="zh-CN"/>
        </w:rPr>
      </w:pPr>
      <w:bookmarkStart w:id="141" w:name="_Toc2131771324"/>
      <w:r>
        <w:rPr>
          <w:rFonts w:hint="eastAsia"/>
          <w:strike w:val="0"/>
          <w:dstrike w:val="0"/>
          <w:color w:val="auto"/>
          <w:highlight w:val="none"/>
          <w:u w:val="none" w:color="auto"/>
          <w:shd w:val="clear" w:color="auto" w:fill="auto"/>
          <w:lang w:val="en-US" w:eastAsia="zh-CN"/>
        </w:rPr>
        <w:t>第三节 高质量建设数据基础设施</w:t>
      </w:r>
      <w:bookmarkEnd w:id="141"/>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pPr>
      <w:bookmarkStart w:id="142" w:name="_Toc80673052"/>
      <w:r>
        <w:rPr>
          <w:rFonts w:hint="eastAsia" w:ascii="Times New Roman" w:hAnsi="Times New Roman" w:eastAsia="仿宋_GB2312" w:cs="Times New Roman"/>
          <w:b/>
          <w:bCs/>
          <w:strike w:val="0"/>
          <w:dstrike w:val="0"/>
          <w:color w:val="auto"/>
          <w:sz w:val="32"/>
          <w:szCs w:val="32"/>
          <w:highlight w:val="none"/>
          <w:u w:val="none" w:color="auto"/>
          <w:shd w:val="clear" w:color="auto" w:fill="auto"/>
          <w:lang w:val="en-US" w:eastAsia="zh-CN"/>
        </w:rPr>
        <w:t>深化“千兆城市”建设。</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提升城乡家庭宽带接入能力，推动高速光传输网络部署和全光交叉技术应用，提高基础网络接入能力和骨干网络互联互通能力。主动融入国家“算力一张网”和大连城市算力网整体布局，积极推动算力资源互联共享，加强面向“数字庄河”建设需求的城市算力供给体系。探索开展“算力招商”，吸引金融科技、工业互联网等高算力需求主体落户。提升数据基础设施集约化、绿色化建设水平，促进与绿色能源协同发展。深入开展“数 据要素×”行动，</w:t>
      </w:r>
      <w:r>
        <w:rPr>
          <w:rFonts w:hint="default" w:ascii="Times New Roman" w:hAnsi="Times New Roman" w:eastAsia="仿宋_GB2312" w:cs="Times New Roman"/>
          <w:strike w:val="0"/>
          <w:dstrike w:val="0"/>
          <w:color w:val="auto"/>
          <w:sz w:val="32"/>
          <w:szCs w:val="32"/>
          <w:highlight w:val="none"/>
          <w:u w:val="none" w:color="auto"/>
          <w:shd w:val="clear" w:color="auto" w:fill="auto"/>
          <w:lang w:val="en-US" w:eastAsia="zh-CN"/>
        </w:rPr>
        <w:t>在海洋经济、绿色能源、应急管理、商贸流通等领域打造标杆应用场景</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。推动工业互联网、智慧交通、智能电网、智慧城市、智慧环境监测等应用型新型基础设施建设，促进数字技术与实体经济深度融合。</w:t>
      </w:r>
      <w:bookmarkEnd w:id="142"/>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强化数据采集、存储、处理、使用等全过程管理，加大数据安全保护力度，完善数据基础设施安全防护体系，提高网络安全保障能力。</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Times New Roman" w:hAnsi="Times New Roman" w:eastAsia="仿宋_GB2312" w:cs="Times New Roman"/>
          <w:strike/>
          <w:dstrike w:val="0"/>
          <w:color w:val="auto"/>
          <w:sz w:val="32"/>
          <w:szCs w:val="32"/>
          <w:highlight w:val="none"/>
          <w:u w:val="none" w:color="auto"/>
          <w:shd w:val="clear" w:color="auto" w:fill="auto"/>
          <w:lang w:val="en-US" w:eastAsia="zh-CN"/>
        </w:rPr>
      </w:pPr>
      <w:bookmarkStart w:id="143" w:name="_Toc231299615"/>
      <w:r>
        <w:rPr>
          <w:rFonts w:hint="eastAsia" w:ascii="Times New Roman" w:hAnsi="Times New Roman" w:eastAsia="仿宋_GB2312" w:cs="Times New Roman"/>
          <w:b/>
          <w:bCs/>
          <w:strike w:val="0"/>
          <w:dstrike w:val="0"/>
          <w:color w:val="auto"/>
          <w:sz w:val="32"/>
          <w:szCs w:val="32"/>
          <w:highlight w:val="none"/>
          <w:u w:val="none" w:color="auto"/>
          <w:shd w:val="clear" w:color="auto" w:fill="auto"/>
          <w:lang w:val="en-US" w:eastAsia="zh-CN"/>
        </w:rPr>
        <w:t>数智赋能公共服务。</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搭建整体协同的数字政府，</w:t>
      </w:r>
      <w:r>
        <w:rPr>
          <w:rFonts w:hint="default" w:ascii="Times New Roman" w:hAnsi="Times New Roman" w:eastAsia="仿宋_GB2312" w:cs="Times New Roman"/>
          <w:strike w:val="0"/>
          <w:dstrike w:val="0"/>
          <w:color w:val="auto"/>
          <w:sz w:val="32"/>
          <w:szCs w:val="32"/>
          <w:highlight w:val="none"/>
          <w:u w:val="none" w:color="auto"/>
          <w:shd w:val="clear" w:color="auto" w:fill="auto"/>
          <w:lang w:val="en-US" w:eastAsia="zh-CN"/>
        </w:rPr>
        <w:t>强化公共数据资源的高质量汇集共享，</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构建智慧指挥决策体系。推动重点领域数字化。依托教育专网实现“千兆到校、百兆到班”与智慧校园全覆盖。构建三级互联互通的全民健康信息平台体系。推进“全域协同、智能精准、泛在可及”的社保数字化体系建设，实现电子社保卡覆盖超过</w:t>
      </w:r>
      <w:r>
        <w:rPr>
          <w:rFonts w:hint="eastAsia"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t>90%，</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就业、社保、仲裁等业务全程线上办理。对接国家公共文化云平台，推进智慧图书馆、数字文化馆、数字博物馆、高水平数字档案馆和乡村数字文化综合服务体验馆建设。整合庄河丰富的文化遗产、文化活动等信息，实现文化资源的数字化展示与传播。</w:t>
      </w:r>
      <w:bookmarkEnd w:id="143"/>
    </w:p>
    <w:p>
      <w:pPr>
        <w:pStyle w:val="3"/>
        <w:pageBreakBefore w:val="0"/>
        <w:widowControl w:val="0"/>
        <w:kinsoku/>
        <w:wordWrap/>
        <w:overflowPunct/>
        <w:topLinePunct w:val="0"/>
        <w:autoSpaceDE/>
        <w:autoSpaceDN/>
        <w:bidi w:val="0"/>
        <w:spacing w:line="600" w:lineRule="exact"/>
        <w:textAlignment w:val="auto"/>
        <w:rPr>
          <w:rFonts w:hint="eastAsia"/>
          <w:strike w:val="0"/>
          <w:dstrike w:val="0"/>
          <w:color w:val="auto"/>
          <w:highlight w:val="none"/>
          <w:u w:val="none" w:color="auto"/>
          <w:shd w:val="clear" w:color="auto" w:fill="auto"/>
          <w:lang w:val="en-US" w:eastAsia="zh-CN"/>
        </w:rPr>
      </w:pPr>
      <w:bookmarkStart w:id="144" w:name="_Toc640009446"/>
      <w:r>
        <w:rPr>
          <w:rFonts w:hint="eastAsia"/>
          <w:strike w:val="0"/>
          <w:dstrike w:val="0"/>
          <w:color w:val="auto"/>
          <w:highlight w:val="none"/>
          <w:u w:val="none" w:color="auto"/>
          <w:shd w:val="clear" w:color="auto" w:fill="auto"/>
          <w:lang w:val="en-US" w:eastAsia="zh-CN"/>
        </w:rPr>
        <w:t>第十一章 完善普惠共享的现代化民生福祉体系</w:t>
      </w:r>
      <w:bookmarkEnd w:id="144"/>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pP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坚持以人民为中心的发展思想，稳步推进基本公共服务规划布局、设施建设、资源配置城乡一体化。</w:t>
      </w:r>
      <w:r>
        <w:rPr>
          <w:rFonts w:hint="default" w:ascii="Times New Roman" w:hAnsi="Times New Roman" w:eastAsia="仿宋_GB2312" w:cs="Times New Roman"/>
          <w:strike w:val="0"/>
          <w:dstrike w:val="0"/>
          <w:color w:val="auto"/>
          <w:sz w:val="32"/>
          <w:szCs w:val="32"/>
          <w:highlight w:val="none"/>
          <w:u w:val="none" w:color="auto"/>
          <w:shd w:val="clear" w:color="auto" w:fill="auto"/>
          <w:lang w:val="en-US" w:eastAsia="zh-CN"/>
        </w:rPr>
        <w:t>加强普惠性、基础性、兜底性民生建设，解决好人民最关心最直接最现实的利益问题，在发展中保障和改善民生</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w:t>
      </w:r>
      <w:r>
        <w:rPr>
          <w:rFonts w:hint="default" w:ascii="Times New Roman" w:hAnsi="Times New Roman" w:eastAsia="仿宋_GB2312" w:cs="Times New Roman"/>
          <w:strike w:val="0"/>
          <w:dstrike w:val="0"/>
          <w:color w:val="auto"/>
          <w:sz w:val="32"/>
          <w:szCs w:val="32"/>
          <w:highlight w:val="none"/>
          <w:u w:val="none" w:color="auto"/>
          <w:shd w:val="clear" w:color="auto" w:fill="auto"/>
          <w:lang w:val="en-US" w:eastAsia="zh-CN"/>
        </w:rPr>
        <w:t>不断满足人民对美好生活的向往。</w:t>
      </w:r>
    </w:p>
    <w:p>
      <w:pPr>
        <w:pStyle w:val="4"/>
        <w:pageBreakBefore w:val="0"/>
        <w:widowControl w:val="0"/>
        <w:kinsoku/>
        <w:wordWrap/>
        <w:overflowPunct/>
        <w:topLinePunct w:val="0"/>
        <w:autoSpaceDE/>
        <w:autoSpaceDN/>
        <w:bidi w:val="0"/>
        <w:spacing w:line="600" w:lineRule="exact"/>
        <w:textAlignment w:val="auto"/>
        <w:rPr>
          <w:rFonts w:hint="eastAsia"/>
          <w:strike w:val="0"/>
          <w:dstrike w:val="0"/>
          <w:color w:val="auto"/>
          <w:highlight w:val="none"/>
          <w:u w:val="none" w:color="auto"/>
          <w:shd w:val="clear" w:color="auto" w:fill="auto"/>
          <w:lang w:val="en-US" w:eastAsia="zh-CN"/>
        </w:rPr>
      </w:pPr>
      <w:bookmarkStart w:id="145" w:name="_Toc924351764"/>
      <w:r>
        <w:rPr>
          <w:rFonts w:hint="eastAsia"/>
          <w:strike w:val="0"/>
          <w:dstrike w:val="0"/>
          <w:color w:val="auto"/>
          <w:highlight w:val="none"/>
          <w:u w:val="none" w:color="auto"/>
          <w:shd w:val="clear" w:color="auto" w:fill="auto"/>
          <w:lang w:val="en-US" w:eastAsia="zh-CN"/>
        </w:rPr>
        <w:t>第一节 促进高质量充分就业</w:t>
      </w:r>
      <w:bookmarkEnd w:id="145"/>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trike w:val="0"/>
          <w:dstrike w:val="0"/>
          <w:color w:val="auto"/>
          <w:sz w:val="32"/>
          <w:szCs w:val="32"/>
          <w:highlight w:val="none"/>
          <w:u w:val="none" w:color="auto"/>
          <w:shd w:val="clear" w:color="auto" w:fill="auto"/>
          <w:lang w:val="en-US" w:eastAsia="zh-CN"/>
        </w:rPr>
      </w:pPr>
      <w:r>
        <w:rPr>
          <w:rFonts w:hint="eastAsia" w:ascii="Times New Roman" w:hAnsi="Times New Roman" w:eastAsia="仿宋_GB2312" w:cs="Times New Roman"/>
          <w:b/>
          <w:bCs/>
          <w:strike w:val="0"/>
          <w:dstrike w:val="0"/>
          <w:color w:val="auto"/>
          <w:sz w:val="32"/>
          <w:szCs w:val="32"/>
          <w:highlight w:val="none"/>
          <w:u w:val="none" w:color="auto"/>
          <w:shd w:val="clear" w:color="auto" w:fill="auto"/>
          <w:lang w:val="en-US" w:eastAsia="zh-CN"/>
        </w:rPr>
        <w:t>深入实施就业优先战略。</w:t>
      </w:r>
      <w:r>
        <w:rPr>
          <w:rFonts w:hint="default" w:ascii="Times New Roman" w:hAnsi="Times New Roman" w:eastAsia="仿宋_GB2312" w:cs="Times New Roman"/>
          <w:strike w:val="0"/>
          <w:dstrike w:val="0"/>
          <w:color w:val="auto"/>
          <w:sz w:val="32"/>
          <w:szCs w:val="32"/>
          <w:highlight w:val="none"/>
          <w:u w:val="none" w:color="auto"/>
          <w:shd w:val="clear" w:color="auto" w:fill="auto"/>
          <w:lang w:val="en-US" w:eastAsia="zh-CN"/>
        </w:rPr>
        <w:t>把高质量充分就业作为经济社会发展的优先目标，</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加强就业政策与产业、财税、金融、社保等政策</w:t>
      </w:r>
      <w:r>
        <w:rPr>
          <w:rFonts w:hint="default" w:ascii="Times New Roman" w:hAnsi="Times New Roman" w:eastAsia="仿宋_GB2312" w:cs="Times New Roman"/>
          <w:strike w:val="0"/>
          <w:dstrike w:val="0"/>
          <w:color w:val="auto"/>
          <w:sz w:val="32"/>
          <w:szCs w:val="32"/>
          <w:highlight w:val="none"/>
          <w:u w:val="none" w:color="auto"/>
          <w:shd w:val="clear" w:color="auto" w:fill="auto"/>
          <w:lang w:val="en-US" w:eastAsia="zh-CN"/>
        </w:rPr>
        <w:t>协</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同</w:t>
      </w:r>
      <w:r>
        <w:rPr>
          <w:rFonts w:hint="default" w:ascii="Times New Roman" w:hAnsi="Times New Roman" w:eastAsia="仿宋_GB2312" w:cs="Times New Roman"/>
          <w:strike w:val="0"/>
          <w:dstrike w:val="0"/>
          <w:color w:val="auto"/>
          <w:sz w:val="32"/>
          <w:szCs w:val="32"/>
          <w:highlight w:val="none"/>
          <w:u w:val="none" w:color="auto"/>
          <w:shd w:val="clear" w:color="auto" w:fill="auto"/>
          <w:lang w:val="en-US" w:eastAsia="zh-CN"/>
        </w:rPr>
        <w:t>联动，强化重大政策、重大项目、重大生产力布局对就业影响评估，构建就业友好型发展方式。用好用足稳岗返还、担保贷款、资金补贴等政策，大力推行</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w:t>
      </w:r>
      <w:r>
        <w:rPr>
          <w:rFonts w:hint="default" w:ascii="Times New Roman" w:hAnsi="Times New Roman" w:eastAsia="仿宋_GB2312" w:cs="Times New Roman"/>
          <w:strike w:val="0"/>
          <w:dstrike w:val="0"/>
          <w:color w:val="auto"/>
          <w:sz w:val="32"/>
          <w:szCs w:val="32"/>
          <w:highlight w:val="none"/>
          <w:u w:val="none" w:color="auto"/>
          <w:shd w:val="clear" w:color="auto" w:fill="auto"/>
          <w:lang w:val="en-US" w:eastAsia="zh-CN"/>
        </w:rPr>
        <w:t>不来即享</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w:t>
      </w:r>
      <w:r>
        <w:rPr>
          <w:rFonts w:hint="default" w:ascii="Times New Roman" w:hAnsi="Times New Roman" w:eastAsia="仿宋_GB2312" w:cs="Times New Roman"/>
          <w:strike w:val="0"/>
          <w:dstrike w:val="0"/>
          <w:color w:val="auto"/>
          <w:sz w:val="32"/>
          <w:szCs w:val="32"/>
          <w:highlight w:val="none"/>
          <w:u w:val="none" w:color="auto"/>
          <w:shd w:val="clear" w:color="auto" w:fill="auto"/>
          <w:lang w:val="en-US" w:eastAsia="zh-CN"/>
        </w:rPr>
        <w:t>直补快办</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w:t>
      </w:r>
      <w:r>
        <w:rPr>
          <w:rFonts w:hint="default" w:ascii="Times New Roman" w:hAnsi="Times New Roman" w:eastAsia="仿宋_GB2312" w:cs="Times New Roman"/>
          <w:strike w:val="0"/>
          <w:dstrike w:val="0"/>
          <w:color w:val="auto"/>
          <w:sz w:val="32"/>
          <w:szCs w:val="32"/>
          <w:highlight w:val="none"/>
          <w:u w:val="none" w:color="auto"/>
          <w:shd w:val="clear" w:color="auto" w:fill="auto"/>
          <w:lang w:val="en-US" w:eastAsia="zh-CN"/>
        </w:rPr>
        <w:t>经办模式，全力支持经营主体稳岗</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扩岗</w:t>
      </w:r>
      <w:r>
        <w:rPr>
          <w:rFonts w:hint="default" w:ascii="Times New Roman" w:hAnsi="Times New Roman" w:eastAsia="仿宋_GB2312" w:cs="Times New Roman"/>
          <w:strike w:val="0"/>
          <w:dstrike w:val="0"/>
          <w:color w:val="auto"/>
          <w:sz w:val="32"/>
          <w:szCs w:val="32"/>
          <w:highlight w:val="none"/>
          <w:u w:val="none" w:color="auto"/>
          <w:shd w:val="clear" w:color="auto" w:fill="auto"/>
          <w:lang w:val="en-US" w:eastAsia="zh-CN"/>
        </w:rPr>
        <w:t>。紧跟新业态、新模式</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w:t>
      </w:r>
      <w:r>
        <w:rPr>
          <w:rFonts w:hint="default" w:ascii="Times New Roman" w:hAnsi="Times New Roman" w:eastAsia="仿宋_GB2312" w:cs="Times New Roman"/>
          <w:strike w:val="0"/>
          <w:dstrike w:val="0"/>
          <w:color w:val="auto"/>
          <w:sz w:val="32"/>
          <w:szCs w:val="32"/>
          <w:highlight w:val="none"/>
          <w:u w:val="none" w:color="auto"/>
          <w:shd w:val="clear" w:color="auto" w:fill="auto"/>
          <w:lang w:val="en-US" w:eastAsia="zh-CN"/>
        </w:rPr>
        <w:t>挖掘培育新的</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职业序列</w:t>
      </w:r>
      <w:r>
        <w:rPr>
          <w:rFonts w:hint="default" w:ascii="Times New Roman" w:hAnsi="Times New Roman" w:eastAsia="仿宋_GB2312" w:cs="Times New Roman"/>
          <w:strike w:val="0"/>
          <w:dstrike w:val="0"/>
          <w:color w:val="auto"/>
          <w:sz w:val="32"/>
          <w:szCs w:val="32"/>
          <w:highlight w:val="none"/>
          <w:u w:val="none" w:color="auto"/>
          <w:shd w:val="clear" w:color="auto" w:fill="auto"/>
          <w:lang w:val="en-US" w:eastAsia="zh-CN"/>
        </w:rPr>
        <w:t>，</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支持企业</w:t>
      </w:r>
      <w:r>
        <w:rPr>
          <w:rFonts w:hint="default" w:ascii="Times New Roman" w:hAnsi="Times New Roman" w:eastAsia="仿宋_GB2312" w:cs="Times New Roman"/>
          <w:strike w:val="0"/>
          <w:dstrike w:val="0"/>
          <w:color w:val="auto"/>
          <w:sz w:val="32"/>
          <w:szCs w:val="32"/>
          <w:highlight w:val="none"/>
          <w:u w:val="none" w:color="auto"/>
          <w:shd w:val="clear" w:color="auto" w:fill="auto"/>
          <w:lang w:val="en-US" w:eastAsia="zh-CN"/>
        </w:rPr>
        <w:t>创造更多高质量就业岗位。</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“十五五”期间，完成城镇新增就业</w:t>
      </w:r>
      <w:r>
        <w:rPr>
          <w:rFonts w:hint="eastAsia"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t>4</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万人。</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trike w:val="0"/>
          <w:dstrike w:val="0"/>
          <w:color w:val="auto"/>
          <w:sz w:val="32"/>
          <w:szCs w:val="32"/>
          <w:highlight w:val="none"/>
          <w:u w:val="none" w:color="auto"/>
          <w:shd w:val="clear" w:color="auto" w:fill="auto"/>
          <w:lang w:val="en-US" w:eastAsia="zh-CN"/>
        </w:rPr>
      </w:pPr>
      <w:r>
        <w:rPr>
          <w:rFonts w:hint="default" w:ascii="Times New Roman" w:hAnsi="Times New Roman" w:eastAsia="仿宋_GB2312" w:cs="Times New Roman"/>
          <w:b/>
          <w:bCs/>
          <w:strike w:val="0"/>
          <w:dstrike w:val="0"/>
          <w:color w:val="auto"/>
          <w:sz w:val="32"/>
          <w:szCs w:val="32"/>
          <w:highlight w:val="none"/>
          <w:u w:val="none" w:color="auto"/>
          <w:shd w:val="clear" w:color="auto" w:fill="auto"/>
          <w:lang w:val="en-US" w:eastAsia="zh-CN"/>
        </w:rPr>
        <w:t>着力解决结构性就业矛盾。</w:t>
      </w:r>
      <w:r>
        <w:rPr>
          <w:rFonts w:hint="default" w:ascii="Times New Roman" w:hAnsi="Times New Roman" w:eastAsia="仿宋_GB2312" w:cs="Times New Roman"/>
          <w:strike w:val="0"/>
          <w:dstrike w:val="0"/>
          <w:color w:val="auto"/>
          <w:sz w:val="32"/>
          <w:szCs w:val="32"/>
          <w:highlight w:val="none"/>
          <w:u w:val="none" w:color="auto"/>
          <w:shd w:val="clear" w:color="auto" w:fill="auto"/>
          <w:lang w:val="en-US" w:eastAsia="zh-CN"/>
        </w:rPr>
        <w:t>编制急需紧缺职业、未来就业需求目录，</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围绕重点产业、民生重点领域用工需求精准高效提供人岗匹配对接服务。推动灵活就业、新就业形态健康发展，支持劳动者多渠道灵活就业。</w:t>
      </w:r>
      <w:r>
        <w:rPr>
          <w:rFonts w:hint="default" w:ascii="Times New Roman" w:hAnsi="Times New Roman" w:eastAsia="仿宋_GB2312" w:cs="Times New Roman"/>
          <w:strike w:val="0"/>
          <w:dstrike w:val="0"/>
          <w:color w:val="auto"/>
          <w:sz w:val="32"/>
          <w:szCs w:val="32"/>
          <w:highlight w:val="none"/>
          <w:u w:val="none" w:color="auto"/>
          <w:shd w:val="clear" w:color="auto" w:fill="auto"/>
          <w:lang w:val="en-US" w:eastAsia="zh-CN"/>
        </w:rPr>
        <w:t>健全终身职业技能培训制度，</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实现各类劳动者全职业生涯周期的渐进式全流程技能提升。</w:t>
      </w:r>
      <w:r>
        <w:rPr>
          <w:rFonts w:hint="default" w:ascii="Times New Roman" w:hAnsi="Times New Roman" w:eastAsia="仿宋_GB2312" w:cs="Times New Roman"/>
          <w:strike w:val="0"/>
          <w:dstrike w:val="0"/>
          <w:color w:val="auto"/>
          <w:sz w:val="32"/>
          <w:szCs w:val="32"/>
          <w:highlight w:val="none"/>
          <w:u w:val="none" w:color="auto"/>
          <w:shd w:val="clear" w:color="auto" w:fill="auto"/>
          <w:lang w:val="en-US" w:eastAsia="zh-CN"/>
        </w:rPr>
        <w:t>推动技工教育高质量特色发展，创新技能人才培养方式</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，构建“产教训”融合、“政企社”协同、“选育用”贯通的培育体系，扩大先进制造、清洁能源、水产加工、现代服务、数字经济、低空经济和养老托育等重点领域培训规模</w:t>
      </w:r>
      <w:r>
        <w:rPr>
          <w:rFonts w:hint="default" w:ascii="Times New Roman" w:hAnsi="Times New Roman" w:eastAsia="仿宋_GB2312" w:cs="Times New Roman"/>
          <w:strike w:val="0"/>
          <w:dstrike w:val="0"/>
          <w:color w:val="auto"/>
          <w:sz w:val="32"/>
          <w:szCs w:val="32"/>
          <w:highlight w:val="none"/>
          <w:u w:val="none" w:color="auto"/>
          <w:shd w:val="clear" w:color="auto" w:fill="auto"/>
          <w:lang w:val="en-US" w:eastAsia="zh-CN"/>
        </w:rPr>
        <w:t>。畅通技能人才发展通道，逐步提高技能人才待遇水平，广泛开展各类职业技能竞赛。</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“十五五”</w:t>
      </w:r>
      <w:r>
        <w:rPr>
          <w:rFonts w:hint="default" w:ascii="Times New Roman" w:hAnsi="Times New Roman" w:eastAsia="仿宋_GB2312" w:cs="Times New Roman"/>
          <w:strike w:val="0"/>
          <w:dstrike w:val="0"/>
          <w:color w:val="auto"/>
          <w:sz w:val="32"/>
          <w:szCs w:val="32"/>
          <w:highlight w:val="none"/>
          <w:u w:val="none" w:color="auto"/>
          <w:shd w:val="clear" w:color="auto" w:fill="auto"/>
          <w:lang w:val="en-US" w:eastAsia="zh-CN"/>
        </w:rPr>
        <w:t>期间</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w:t>
      </w:r>
      <w:r>
        <w:rPr>
          <w:rFonts w:hint="default" w:ascii="Times New Roman" w:hAnsi="Times New Roman" w:eastAsia="仿宋_GB2312" w:cs="Times New Roman"/>
          <w:strike w:val="0"/>
          <w:dstrike w:val="0"/>
          <w:color w:val="auto"/>
          <w:sz w:val="32"/>
          <w:szCs w:val="32"/>
          <w:highlight w:val="none"/>
          <w:u w:val="none" w:color="auto"/>
          <w:shd w:val="clear" w:color="auto" w:fill="auto"/>
          <w:lang w:val="en-US" w:eastAsia="zh-CN"/>
        </w:rPr>
        <w:t>完成职业技能培训</w:t>
      </w:r>
      <w:r>
        <w:rPr>
          <w:rFonts w:hint="default"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t>1</w:t>
      </w:r>
      <w:r>
        <w:rPr>
          <w:rFonts w:hint="default" w:ascii="Times New Roman" w:hAnsi="Times New Roman" w:eastAsia="仿宋_GB2312" w:cs="Times New Roman"/>
          <w:strike w:val="0"/>
          <w:dstrike w:val="0"/>
          <w:color w:val="auto"/>
          <w:sz w:val="32"/>
          <w:szCs w:val="32"/>
          <w:highlight w:val="none"/>
          <w:u w:val="none" w:color="auto"/>
          <w:shd w:val="clear" w:color="auto" w:fill="auto"/>
          <w:lang w:val="en-US" w:eastAsia="zh-CN"/>
        </w:rPr>
        <w:t>万人次。</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Times New Roman" w:hAnsi="Times New Roman" w:eastAsia="仿宋_GB2312" w:cs="Times New Roman"/>
          <w:strike w:val="0"/>
          <w:dstrike w:val="0"/>
          <w:color w:val="auto"/>
          <w:sz w:val="32"/>
          <w:szCs w:val="32"/>
          <w:highlight w:val="none"/>
          <w:u w:val="none" w:color="auto"/>
          <w:lang w:val="en-US" w:eastAsia="zh-CN"/>
        </w:rPr>
      </w:pPr>
      <w:r>
        <w:rPr>
          <w:rFonts w:hint="default" w:ascii="Times New Roman" w:hAnsi="Times New Roman" w:eastAsia="仿宋_GB2312" w:cs="Times New Roman"/>
          <w:b/>
          <w:bCs/>
          <w:strike w:val="0"/>
          <w:dstrike w:val="0"/>
          <w:color w:val="auto"/>
          <w:sz w:val="32"/>
          <w:szCs w:val="32"/>
          <w:highlight w:val="none"/>
          <w:u w:val="none" w:color="auto"/>
          <w:shd w:val="clear" w:color="auto" w:fill="auto"/>
          <w:lang w:val="en-US" w:eastAsia="zh-CN"/>
        </w:rPr>
        <w:t>健全</w:t>
      </w:r>
      <w:r>
        <w:rPr>
          <w:rFonts w:hint="eastAsia" w:ascii="Times New Roman" w:hAnsi="Times New Roman" w:eastAsia="仿宋_GB2312" w:cs="Times New Roman"/>
          <w:b/>
          <w:bCs/>
          <w:strike w:val="0"/>
          <w:dstrike w:val="0"/>
          <w:color w:val="auto"/>
          <w:sz w:val="32"/>
          <w:szCs w:val="32"/>
          <w:highlight w:val="none"/>
          <w:u w:val="none" w:color="auto"/>
          <w:shd w:val="clear" w:color="auto" w:fill="auto"/>
          <w:lang w:val="en-US" w:eastAsia="zh-CN"/>
        </w:rPr>
        <w:t>就业支持与</w:t>
      </w:r>
      <w:r>
        <w:rPr>
          <w:rFonts w:hint="default" w:ascii="Times New Roman" w:hAnsi="Times New Roman" w:eastAsia="仿宋_GB2312" w:cs="Times New Roman"/>
          <w:b/>
          <w:bCs/>
          <w:strike w:val="0"/>
          <w:dstrike w:val="0"/>
          <w:color w:val="auto"/>
          <w:sz w:val="32"/>
          <w:szCs w:val="32"/>
          <w:highlight w:val="none"/>
          <w:u w:val="none" w:color="auto"/>
          <w:shd w:val="clear" w:color="auto" w:fill="auto"/>
          <w:lang w:val="en-US" w:eastAsia="zh-CN"/>
        </w:rPr>
        <w:t>公共服务体系。</w:t>
      </w:r>
      <w:r>
        <w:rPr>
          <w:rFonts w:hint="default" w:ascii="Times New Roman" w:hAnsi="Times New Roman" w:eastAsia="仿宋_GB2312" w:cs="Times New Roman"/>
          <w:strike w:val="0"/>
          <w:dstrike w:val="0"/>
          <w:color w:val="auto"/>
          <w:sz w:val="32"/>
          <w:szCs w:val="32"/>
          <w:highlight w:val="none"/>
          <w:u w:val="none" w:color="auto"/>
          <w:shd w:val="clear" w:color="auto" w:fill="auto"/>
          <w:lang w:val="en-US" w:eastAsia="zh-CN"/>
        </w:rPr>
        <w:t>坚持把高校毕业生</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、农民工、退役军人等重点群体就业</w:t>
      </w:r>
      <w:r>
        <w:rPr>
          <w:rFonts w:hint="default" w:ascii="Times New Roman" w:hAnsi="Times New Roman" w:eastAsia="仿宋_GB2312" w:cs="Times New Roman"/>
          <w:strike w:val="0"/>
          <w:dstrike w:val="0"/>
          <w:color w:val="auto"/>
          <w:sz w:val="32"/>
          <w:szCs w:val="32"/>
          <w:highlight w:val="none"/>
          <w:u w:val="none" w:color="auto"/>
          <w:shd w:val="clear" w:color="auto" w:fill="auto"/>
          <w:lang w:val="en-US" w:eastAsia="zh-CN"/>
        </w:rPr>
        <w:t>作为重中之重</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。多渠道挖掘高校毕业生就业岗位，落实大学生就业创业补贴补助机制，提升就业能力</w:t>
      </w:r>
      <w:r>
        <w:rPr>
          <w:rFonts w:hint="default" w:ascii="Times New Roman" w:hAnsi="Times New Roman" w:eastAsia="仿宋_GB2312" w:cs="Times New Roman"/>
          <w:strike w:val="0"/>
          <w:dstrike w:val="0"/>
          <w:color w:val="auto"/>
          <w:sz w:val="32"/>
          <w:szCs w:val="32"/>
          <w:highlight w:val="none"/>
          <w:u w:val="none" w:color="auto"/>
          <w:shd w:val="clear" w:color="auto" w:fill="auto"/>
          <w:lang w:val="en-US" w:eastAsia="zh-CN"/>
        </w:rPr>
        <w:t>，畅通成长路径</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。坚持农民工外出就业和就地就近就业并重，就业服务、劳务协作、技能培训、劳务品牌、权益维护共同发力，稳定脱贫人口务工规模和务工收入。</w:t>
      </w:r>
      <w:r>
        <w:rPr>
          <w:rFonts w:hint="eastAsia" w:ascii="仿宋_GB2312" w:hAnsi="仿宋_GB2312" w:eastAsia="仿宋_GB2312" w:cs="仿宋_GB2312"/>
          <w:bCs/>
          <w:strike w:val="0"/>
          <w:dstrike w:val="0"/>
          <w:color w:val="auto"/>
          <w:sz w:val="32"/>
          <w:szCs w:val="32"/>
          <w:highlight w:val="none"/>
          <w:u w:val="none" w:color="auto"/>
          <w:lang w:eastAsia="zh-CN"/>
        </w:rPr>
        <w:t>推行“理论教学</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w:t>
      </w:r>
      <w:r>
        <w:rPr>
          <w:rFonts w:hint="eastAsia" w:ascii="仿宋_GB2312" w:hAnsi="仿宋_GB2312" w:eastAsia="仿宋_GB2312" w:cs="仿宋_GB2312"/>
          <w:bCs/>
          <w:strike w:val="0"/>
          <w:dstrike w:val="0"/>
          <w:color w:val="auto"/>
          <w:sz w:val="32"/>
          <w:szCs w:val="32"/>
          <w:highlight w:val="none"/>
          <w:u w:val="none" w:color="auto"/>
          <w:lang w:eastAsia="zh-CN"/>
        </w:rPr>
        <w:t>实操训练</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w:t>
      </w:r>
      <w:r>
        <w:rPr>
          <w:rFonts w:hint="eastAsia" w:ascii="仿宋_GB2312" w:hAnsi="仿宋_GB2312" w:eastAsia="仿宋_GB2312" w:cs="仿宋_GB2312"/>
          <w:bCs/>
          <w:strike w:val="0"/>
          <w:dstrike w:val="0"/>
          <w:color w:val="auto"/>
          <w:sz w:val="32"/>
          <w:szCs w:val="32"/>
          <w:highlight w:val="none"/>
          <w:u w:val="none" w:color="auto"/>
          <w:lang w:eastAsia="zh-CN"/>
        </w:rPr>
        <w:t>技能认证”模式，</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整合退役军人技能档案、企业岗位需求、培训资源等数据，实现人岗精准匹配和高效对接。</w:t>
      </w:r>
      <w:r>
        <w:rPr>
          <w:rFonts w:hint="default" w:ascii="Times New Roman" w:hAnsi="Times New Roman" w:eastAsia="仿宋_GB2312" w:cs="Times New Roman"/>
          <w:strike w:val="0"/>
          <w:dstrike w:val="0"/>
          <w:color w:val="auto"/>
          <w:sz w:val="32"/>
          <w:szCs w:val="32"/>
          <w:highlight w:val="none"/>
          <w:u w:val="none" w:color="auto"/>
          <w:shd w:val="clear" w:color="auto" w:fill="auto"/>
          <w:lang w:val="en-US" w:eastAsia="zh-CN"/>
        </w:rPr>
        <w:t>聚焦大龄、残疾、较长时间失业等困难群体，强化</w:t>
      </w:r>
      <w:r>
        <w:rPr>
          <w:rFonts w:hint="eastAsia" w:ascii="Times New Roman" w:hAnsi="Times New Roman" w:eastAsia="仿宋_GB2312" w:cs="Times New Roman"/>
          <w:strike w:val="0"/>
          <w:dstrike w:val="0"/>
          <w:color w:val="auto"/>
          <w:sz w:val="32"/>
          <w:szCs w:val="32"/>
          <w:highlight w:val="none"/>
          <w:u w:val="none" w:color="auto"/>
          <w:lang w:val="en-US" w:eastAsia="zh-CN"/>
        </w:rPr>
        <w:t>就业援助与</w:t>
      </w:r>
      <w:r>
        <w:rPr>
          <w:rFonts w:hint="default" w:ascii="Times New Roman" w:hAnsi="Times New Roman" w:eastAsia="仿宋_GB2312" w:cs="Times New Roman"/>
          <w:strike w:val="0"/>
          <w:dstrike w:val="0"/>
          <w:color w:val="auto"/>
          <w:sz w:val="32"/>
          <w:szCs w:val="32"/>
          <w:highlight w:val="none"/>
          <w:u w:val="none" w:color="auto"/>
          <w:shd w:val="clear" w:color="auto" w:fill="auto"/>
          <w:lang w:val="en-US" w:eastAsia="zh-CN"/>
        </w:rPr>
        <w:t>公益性岗位兜底安置。</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完善妇女就业政策，保障女性劳动者合法权益。开发适合银龄群体就业岗位。推进大众创业，发挥创业对促进就业的倍增效应。加强就业权益保障，健全政府、工会、企业共同参与的劳动关系协商协调机制。</w:t>
      </w:r>
      <w:r>
        <w:rPr>
          <w:rFonts w:hint="eastAsia" w:ascii="Times New Roman" w:hAnsi="Times New Roman" w:eastAsia="仿宋_GB2312" w:cs="Times New Roman"/>
          <w:strike w:val="0"/>
          <w:dstrike w:val="0"/>
          <w:color w:val="auto"/>
          <w:sz w:val="32"/>
          <w:szCs w:val="32"/>
          <w:highlight w:val="none"/>
          <w:u w:val="none" w:color="auto"/>
          <w:lang w:val="en-US" w:eastAsia="zh-CN"/>
        </w:rPr>
        <w:t>“十五五”期间，完成困难人员新增就业</w:t>
      </w:r>
      <w:r>
        <w:rPr>
          <w:rFonts w:hint="eastAsia"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t>5200</w:t>
      </w:r>
      <w:r>
        <w:rPr>
          <w:rFonts w:hint="eastAsia" w:ascii="Times New Roman" w:hAnsi="Times New Roman" w:eastAsia="仿宋_GB2312" w:cs="Times New Roman"/>
          <w:strike w:val="0"/>
          <w:dstrike w:val="0"/>
          <w:color w:val="auto"/>
          <w:sz w:val="32"/>
          <w:szCs w:val="32"/>
          <w:highlight w:val="none"/>
          <w:u w:val="none" w:color="auto"/>
          <w:lang w:val="en-US" w:eastAsia="zh-CN"/>
        </w:rPr>
        <w:t>人。</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pPr>
      <w:r>
        <w:rPr>
          <w:rFonts w:hint="eastAsia" w:ascii="Times New Roman" w:hAnsi="Times New Roman" w:eastAsia="仿宋_GB2312" w:cs="Times New Roman"/>
          <w:b/>
          <w:bCs/>
          <w:strike w:val="0"/>
          <w:dstrike w:val="0"/>
          <w:color w:val="auto"/>
          <w:sz w:val="32"/>
          <w:szCs w:val="32"/>
          <w:highlight w:val="none"/>
          <w:u w:val="none" w:color="auto"/>
          <w:shd w:val="clear" w:color="auto" w:fill="auto"/>
          <w:lang w:val="en-US" w:eastAsia="zh-CN"/>
        </w:rPr>
        <w:t>积极拓宽居民增收渠道。</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推动中低收入群体增收减负，加强灵活就业和新就业形态劳动者权益保障，完善劳动者工资正常增长机制。健全最低工资标准调整机制，稳步合理提高工资性收入。鼓励企业增加劳动者特别是一线劳动者报酬，提高劳动报酬在初次分配中的比重，提升中等收入群体比重和收入水平。强化以增加知识价值为导向的分配政策，合理提高技术技能人才待遇。探索多种渠道增加居民要素收入、财产性收入，提高中低收入群体的土地、资本等要素收入。健全社会保障、转移支付等再分配调节机制，发挥慈善事业等第三次分配作用，改善收入和财富分配格局。</w:t>
      </w:r>
    </w:p>
    <w:p>
      <w:pPr>
        <w:pStyle w:val="4"/>
        <w:pageBreakBefore w:val="0"/>
        <w:widowControl w:val="0"/>
        <w:kinsoku/>
        <w:wordWrap/>
        <w:overflowPunct/>
        <w:topLinePunct w:val="0"/>
        <w:autoSpaceDE/>
        <w:autoSpaceDN/>
        <w:bidi w:val="0"/>
        <w:spacing w:line="600" w:lineRule="exact"/>
        <w:textAlignment w:val="auto"/>
        <w:rPr>
          <w:rFonts w:hint="eastAsia"/>
          <w:strike w:val="0"/>
          <w:dstrike w:val="0"/>
          <w:color w:val="auto"/>
          <w:highlight w:val="none"/>
          <w:u w:val="none" w:color="auto"/>
          <w:shd w:val="clear" w:color="auto" w:fill="auto"/>
          <w:lang w:val="en-US" w:eastAsia="zh-CN"/>
        </w:rPr>
      </w:pPr>
      <w:bookmarkStart w:id="146" w:name="_Toc339324022"/>
      <w:r>
        <w:rPr>
          <w:rFonts w:hint="eastAsia"/>
          <w:strike w:val="0"/>
          <w:dstrike w:val="0"/>
          <w:color w:val="auto"/>
          <w:highlight w:val="none"/>
          <w:u w:val="none" w:color="auto"/>
          <w:shd w:val="clear" w:color="auto" w:fill="auto"/>
          <w:lang w:val="en-US" w:eastAsia="zh-CN"/>
        </w:rPr>
        <w:t>第二节 健全社会保障体系</w:t>
      </w:r>
      <w:bookmarkEnd w:id="146"/>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trike w:val="0"/>
          <w:dstrike w:val="0"/>
          <w:color w:val="auto"/>
          <w:sz w:val="32"/>
          <w:szCs w:val="32"/>
          <w:highlight w:val="none"/>
          <w:u w:val="none" w:color="auto"/>
          <w:shd w:val="clear" w:color="auto" w:fill="auto"/>
          <w:lang w:val="en-US" w:eastAsia="zh-CN"/>
        </w:rPr>
      </w:pPr>
      <w:r>
        <w:rPr>
          <w:rFonts w:hint="eastAsia" w:ascii="Times New Roman" w:hAnsi="Times New Roman" w:eastAsia="仿宋_GB2312" w:cs="Times New Roman"/>
          <w:b/>
          <w:bCs/>
          <w:strike w:val="0"/>
          <w:dstrike w:val="0"/>
          <w:color w:val="auto"/>
          <w:sz w:val="32"/>
          <w:szCs w:val="32"/>
          <w:highlight w:val="none"/>
          <w:u w:val="none" w:color="auto"/>
          <w:shd w:val="clear" w:color="auto" w:fill="auto"/>
          <w:lang w:val="en-US" w:eastAsia="zh-CN"/>
        </w:rPr>
        <w:t>完善重点群体社会保障制度。</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按照自愿、弹性原则，稳妥有序推进渐进式延迟法定退休年龄改革。加快发展多层次、多支柱养老保险体系，实施个人养老金制度，完善并落实基本养老保险全国统筹制度。推动更多有条件的集体经济组织等对参保人缴费给予补助，鼓励多缴多得、长缴多得。发挥各类商业保险补充保障作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pPr>
      <w:r>
        <w:rPr>
          <w:rFonts w:hint="eastAsia" w:ascii="Times New Roman" w:hAnsi="Times New Roman" w:eastAsia="仿宋_GB2312" w:cs="Times New Roman"/>
          <w:b/>
          <w:bCs/>
          <w:strike w:val="0"/>
          <w:dstrike w:val="0"/>
          <w:color w:val="auto"/>
          <w:sz w:val="32"/>
          <w:szCs w:val="32"/>
          <w:highlight w:val="none"/>
          <w:u w:val="none" w:color="auto"/>
          <w:shd w:val="clear" w:color="auto" w:fill="auto"/>
          <w:lang w:val="en-US" w:eastAsia="zh-CN"/>
        </w:rPr>
        <w:t>积极推动高质量全民参保。</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聚焦新业态就业人员、灵活就业人员、农民工等重点群体，落实参保政策措施，推动参保人数增长、结构优化、费率与待遇水平相适应。严格落实被征地农民参加基本养老保险缴费补贴政策和困难群体政府代缴保费政策。</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pPr>
      <w:r>
        <w:rPr>
          <w:rFonts w:hint="eastAsia" w:ascii="Times New Roman" w:hAnsi="Times New Roman" w:eastAsia="仿宋_GB2312" w:cs="Times New Roman"/>
          <w:b/>
          <w:bCs/>
          <w:strike w:val="0"/>
          <w:dstrike w:val="0"/>
          <w:color w:val="auto"/>
          <w:sz w:val="32"/>
          <w:szCs w:val="32"/>
          <w:highlight w:val="none"/>
          <w:u w:val="none" w:color="auto"/>
          <w:shd w:val="clear" w:color="auto" w:fill="auto"/>
          <w:lang w:val="en-US" w:eastAsia="zh-CN"/>
        </w:rPr>
        <w:t>健全社保基金安全监管体系。</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压实主体责任，落实监督责任，坚持以零容忍的态度严厉打击欺诈骗保、套保或挪用贪占等违法行为，持续筑牢政策、经办、信息、监督“四位一体”的基金监管防控体系，强化人防、制防、技防、群防“四防”协同，完善监督约谈、问责追责、举报管理、警示教育等制度。</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Times New Roman" w:hAnsi="Times New Roman" w:eastAsia="仿宋_GB2312" w:cs="Times New Roman"/>
          <w:strike/>
          <w:dstrike w:val="0"/>
          <w:color w:val="auto"/>
          <w:sz w:val="32"/>
          <w:szCs w:val="32"/>
          <w:highlight w:val="none"/>
          <w:u w:val="none" w:color="auto"/>
          <w:shd w:val="clear" w:color="auto" w:fill="auto"/>
          <w:lang w:val="en-US" w:eastAsia="zh-CN"/>
        </w:rPr>
      </w:pPr>
      <w:r>
        <w:rPr>
          <w:rFonts w:hint="eastAsia" w:ascii="Times New Roman" w:hAnsi="Times New Roman" w:eastAsia="仿宋_GB2312" w:cs="Times New Roman"/>
          <w:b/>
          <w:bCs/>
          <w:strike w:val="0"/>
          <w:dstrike w:val="0"/>
          <w:color w:val="auto"/>
          <w:sz w:val="32"/>
          <w:szCs w:val="32"/>
          <w:highlight w:val="none"/>
          <w:u w:val="none" w:color="auto"/>
          <w:shd w:val="clear" w:color="auto" w:fill="auto"/>
          <w:lang w:val="en-US" w:eastAsia="zh-CN"/>
        </w:rPr>
        <w:t>提升社会保险经办服务质效。</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以落实《社会保险经办条例》为牵引，促进各项工作规范化、标准化、精细化。完善社保关系转移接续政策，统一规范经办服务政策标准。不断推进管理服务从解决堵点难点问题向提升总体体验转变，从满足普遍性需求向提供个性化服务转变，从注重业务办理“减时增效”向“自动匹配、主动推送”转变。</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default" w:ascii="Times New Roman" w:hAnsi="Times New Roman" w:eastAsia="仿宋_GB2312" w:cs="Times New Roman"/>
          <w:strike w:val="0"/>
          <w:dstrike w:val="0"/>
          <w:color w:val="auto"/>
          <w:sz w:val="32"/>
          <w:szCs w:val="32"/>
          <w:highlight w:val="none"/>
          <w:u w:val="none" w:color="auto"/>
          <w:shd w:val="clear" w:color="auto" w:fill="auto"/>
          <w:lang w:val="en-US" w:eastAsia="zh-CN"/>
        </w:rPr>
      </w:pPr>
      <w:r>
        <w:rPr>
          <w:rFonts w:hint="eastAsia" w:ascii="Times New Roman" w:hAnsi="Times New Roman" w:eastAsia="仿宋_GB2312" w:cs="Times New Roman"/>
          <w:b/>
          <w:bCs/>
          <w:strike w:val="0"/>
          <w:dstrike w:val="0"/>
          <w:color w:val="auto"/>
          <w:sz w:val="32"/>
          <w:szCs w:val="32"/>
          <w:highlight w:val="none"/>
          <w:u w:val="none" w:color="auto"/>
          <w:shd w:val="clear" w:color="auto" w:fill="auto"/>
          <w:lang w:val="en-US" w:eastAsia="zh-CN"/>
        </w:rPr>
        <w:t>健全分层分类社会救助体系。</w:t>
      </w:r>
      <w:r>
        <w:rPr>
          <w:rFonts w:hint="eastAsia" w:ascii="Times New Roman" w:hAnsi="Times New Roman" w:eastAsia="仿宋_GB2312" w:cs="Times New Roman"/>
          <w:b w:val="0"/>
          <w:bCs w:val="0"/>
          <w:strike w:val="0"/>
          <w:dstrike w:val="0"/>
          <w:color w:val="auto"/>
          <w:sz w:val="32"/>
          <w:szCs w:val="32"/>
          <w:highlight w:val="none"/>
          <w:u w:val="none" w:color="auto"/>
          <w:shd w:val="clear" w:color="auto" w:fill="auto"/>
          <w:lang w:val="en-US" w:eastAsia="zh-CN"/>
        </w:rPr>
        <w:t>及时将符合条件的群众纳入社会救助范围。</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健全保障妇女儿童合法权益制度。落实儿童优先原则和儿童友好理念。完善残疾人社会保障制度和关爱服务体系。加强社会保险与社会救助、社会福利制度衔接，增强低收入人口抗风险能力。推动社会福利设施共建共享、互联互通、整合利用。实现全市未成年人救助保护全覆盖，形成市、乡镇（街道）、村（社区）三级保障服务工作网络，</w:t>
      </w:r>
      <w:r>
        <w:rPr>
          <w:rFonts w:hint="default" w:ascii="Times New Roman" w:hAnsi="Times New Roman" w:eastAsia="仿宋_GB2312" w:cs="Times New Roman"/>
          <w:b w:val="0"/>
          <w:strike w:val="0"/>
          <w:dstrike w:val="0"/>
          <w:color w:val="auto"/>
          <w:kern w:val="2"/>
          <w:sz w:val="32"/>
          <w:szCs w:val="32"/>
          <w:highlight w:val="none"/>
          <w:u w:val="none" w:color="auto"/>
          <w:lang w:val="en-US" w:eastAsia="zh-CN" w:bidi="ar-SA"/>
        </w:rPr>
        <w:t>新建或改扩建</w:t>
      </w:r>
      <w:r>
        <w:rPr>
          <w:rFonts w:hint="eastAsia"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t>1</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所市级未成年人救助保护中心。完善</w:t>
      </w:r>
      <w:r>
        <w:rPr>
          <w:rFonts w:hint="default" w:ascii="Times New Roman" w:hAnsi="Times New Roman" w:eastAsia="仿宋_GB2312" w:cs="Times New Roman"/>
          <w:b w:val="0"/>
          <w:bCs w:val="0"/>
          <w:strike w:val="0"/>
          <w:dstrike w:val="0"/>
          <w:color w:val="auto"/>
          <w:kern w:val="2"/>
          <w:sz w:val="32"/>
          <w:szCs w:val="32"/>
          <w:highlight w:val="none"/>
          <w:u w:val="none" w:color="auto"/>
          <w:lang w:val="en-US" w:eastAsia="zh-CN" w:bidi="ar-SA"/>
        </w:rPr>
        <w:t>救助管理设施</w:t>
      </w:r>
      <w:r>
        <w:rPr>
          <w:rFonts w:hint="eastAsia" w:ascii="Times New Roman" w:hAnsi="Times New Roman" w:eastAsia="仿宋_GB2312" w:cs="Times New Roman"/>
          <w:b w:val="0"/>
          <w:bCs w:val="0"/>
          <w:strike w:val="0"/>
          <w:dstrike w:val="0"/>
          <w:color w:val="auto"/>
          <w:kern w:val="2"/>
          <w:sz w:val="32"/>
          <w:szCs w:val="32"/>
          <w:highlight w:val="none"/>
          <w:u w:val="none" w:color="auto"/>
          <w:lang w:val="en-US" w:eastAsia="zh-CN" w:bidi="ar-SA"/>
        </w:rPr>
        <w:t>，积极推进市级精神卫生福利机构建设，</w:t>
      </w:r>
      <w:r>
        <w:rPr>
          <w:rFonts w:hint="default" w:ascii="Times New Roman" w:hAnsi="Times New Roman" w:eastAsia="仿宋_GB2312" w:cs="Times New Roman"/>
          <w:strike w:val="0"/>
          <w:dstrike w:val="0"/>
          <w:color w:val="auto"/>
          <w:sz w:val="32"/>
          <w:szCs w:val="32"/>
          <w:highlight w:val="none"/>
          <w:u w:val="none" w:color="auto"/>
          <w:lang w:val="en-US" w:eastAsia="zh-CN"/>
        </w:rPr>
        <w:t>依托现有服务设施改造升级</w:t>
      </w:r>
      <w:r>
        <w:rPr>
          <w:rFonts w:hint="default" w:ascii="Times New Roman" w:hAnsi="Times New Roman" w:eastAsia="仿宋_GB2312" w:cs="Times New Roman"/>
          <w:b w:val="0"/>
          <w:bCs w:val="0"/>
          <w:strike w:val="0"/>
          <w:dstrike w:val="0"/>
          <w:color w:val="auto"/>
          <w:kern w:val="2"/>
          <w:sz w:val="32"/>
          <w:szCs w:val="32"/>
          <w:highlight w:val="none"/>
          <w:u w:val="none" w:color="auto"/>
          <w:lang w:val="en-US" w:eastAsia="zh-CN" w:bidi="ar-SA"/>
        </w:rPr>
        <w:t>重度残疾人托养照护设施</w:t>
      </w:r>
      <w:r>
        <w:rPr>
          <w:rFonts w:hint="eastAsia" w:ascii="Times New Roman" w:hAnsi="Times New Roman" w:eastAsia="仿宋_GB2312" w:cs="Times New Roman"/>
          <w:b w:val="0"/>
          <w:bCs w:val="0"/>
          <w:strike w:val="0"/>
          <w:dstrike w:val="0"/>
          <w:color w:val="auto"/>
          <w:kern w:val="2"/>
          <w:sz w:val="32"/>
          <w:szCs w:val="32"/>
          <w:highlight w:val="none"/>
          <w:u w:val="none" w:color="auto"/>
          <w:lang w:val="en-US" w:eastAsia="zh-CN" w:bidi="ar-SA"/>
        </w:rPr>
        <w:t>。</w:t>
      </w:r>
    </w:p>
    <w:p>
      <w:pPr>
        <w:pStyle w:val="4"/>
        <w:pageBreakBefore w:val="0"/>
        <w:widowControl w:val="0"/>
        <w:kinsoku/>
        <w:wordWrap/>
        <w:overflowPunct/>
        <w:topLinePunct w:val="0"/>
        <w:autoSpaceDE/>
        <w:autoSpaceDN/>
        <w:bidi w:val="0"/>
        <w:spacing w:line="600" w:lineRule="exact"/>
        <w:textAlignment w:val="auto"/>
        <w:rPr>
          <w:rFonts w:hint="default"/>
          <w:strike w:val="0"/>
          <w:dstrike w:val="0"/>
          <w:color w:val="auto"/>
          <w:highlight w:val="none"/>
          <w:u w:val="none" w:color="auto"/>
          <w:shd w:val="clear" w:color="auto" w:fill="auto"/>
          <w:lang w:val="en-US" w:eastAsia="zh-CN"/>
        </w:rPr>
      </w:pPr>
      <w:bookmarkStart w:id="147" w:name="_Toc210210982"/>
      <w:r>
        <w:rPr>
          <w:rFonts w:hint="eastAsia"/>
          <w:strike w:val="0"/>
          <w:dstrike w:val="0"/>
          <w:color w:val="auto"/>
          <w:highlight w:val="none"/>
          <w:u w:val="none" w:color="auto"/>
          <w:shd w:val="clear" w:color="auto" w:fill="auto"/>
          <w:lang w:val="en-US" w:eastAsia="zh-CN"/>
        </w:rPr>
        <w:t>第三节 办好人民满意教育</w:t>
      </w:r>
      <w:bookmarkEnd w:id="147"/>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pPr>
      <w:r>
        <w:rPr>
          <w:rFonts w:hint="eastAsia" w:ascii="Times New Roman" w:hAnsi="Times New Roman" w:eastAsia="仿宋_GB2312" w:cs="Times New Roman"/>
          <w:b/>
          <w:bCs/>
          <w:strike w:val="0"/>
          <w:dstrike w:val="0"/>
          <w:color w:val="auto"/>
          <w:sz w:val="32"/>
          <w:szCs w:val="32"/>
          <w:highlight w:val="none"/>
          <w:u w:val="none" w:color="auto"/>
          <w:shd w:val="clear" w:color="auto" w:fill="auto"/>
          <w:lang w:val="en-US" w:eastAsia="zh-CN"/>
        </w:rPr>
        <w:t>持续提升教育质量和水平。</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优化幼儿园布局，稳步推行免费学前教育，探索学前教育集团化发展，形成覆盖城乡、布局合理、公益普惠、安全优质的学前教育公共服务体系。鼓励有条件幼儿园提供托育服务。促进义务教育优质均衡发展，加快城乡学校共同体建设，逐步缩小城乡、校际、群体差距。以新优质学校培育为抓手，“以点带面”推动教育整体提质。建立健全与人口变化相适应的基础教育资源统筹调配机制。推进义务教育学校标准化建设，开展校舍维修和消防改造。持续推进义务教育学校教师、校长交流轮岗工作，进一步优化区域内师资均衡配置。加快“全国义务教育优质均衡发展县”创建。改善普通高中基本办学条件，推进普通高中多样化特色发展。推动特殊教育与普通教育、职业教育等深度融合，全面提高特殊教育质量。健全留守儿童、残疾儿童等特殊类型</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学生关</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爱体系和工作机制，健全控辍保学常态化机制。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pPr>
      <w:r>
        <w:rPr>
          <w:rFonts w:hint="eastAsia" w:ascii="Times New Roman" w:hAnsi="Times New Roman" w:eastAsia="仿宋_GB2312" w:cs="Times New Roman"/>
          <w:b/>
          <w:bCs/>
          <w:strike w:val="0"/>
          <w:dstrike w:val="0"/>
          <w:color w:val="auto"/>
          <w:sz w:val="32"/>
          <w:szCs w:val="32"/>
          <w:highlight w:val="none"/>
          <w:u w:val="none" w:color="auto"/>
          <w:shd w:val="clear" w:color="auto" w:fill="auto"/>
          <w:lang w:val="en-US" w:eastAsia="zh-CN"/>
        </w:rPr>
        <w:t>推动职业教育与产业发展深度融合。</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充分发挥大连市职业技能体验活动基地作用，在中小学广泛开展职业启蒙教育、劳动教育。加强职教中心星级专业建设，强化实</w:t>
      </w:r>
      <w:r>
        <w:rPr>
          <w:rFonts w:hint="eastAsia"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t>习实训，提高学生专业技能水平。推动庄河市职业教育中心与辽宁轻工职业学院联合成立乡村振兴学院,实行“3+2”中高职贯通培养。</w:t>
      </w:r>
      <w:r>
        <w:rPr>
          <w:rFonts w:hint="eastAsia" w:ascii="Times New Roman" w:hAnsi="Times New Roman" w:eastAsia="仿宋_GB2312" w:cs="Times New Roman"/>
          <w:b w:val="0"/>
          <w:bCs w:val="0"/>
          <w:strike w:val="0"/>
          <w:dstrike w:val="0"/>
          <w:color w:val="auto"/>
          <w:sz w:val="32"/>
          <w:szCs w:val="32"/>
          <w:highlight w:val="none"/>
          <w:u w:val="none" w:color="auto"/>
          <w:shd w:val="clear" w:color="auto" w:fill="auto"/>
          <w:lang w:val="en-US" w:eastAsia="zh-CN"/>
        </w:rPr>
        <w:t>积极推进区域产教联合体建设，推行“现代学徒制”，为本地培养优质的技术技能型人才。</w:t>
      </w:r>
      <w:r>
        <w:rPr>
          <w:rFonts w:hint="eastAsia"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t>建立职业教育与产业需求动态对接机制，</w:t>
      </w:r>
      <w:r>
        <w:rPr>
          <w:rFonts w:hint="eastAsia" w:ascii="Times New Roman" w:hAnsi="Times New Roman" w:eastAsia="仿宋_GB2312" w:cs="Times New Roman"/>
          <w:b w:val="0"/>
          <w:bCs w:val="0"/>
          <w:strike w:val="0"/>
          <w:dstrike w:val="0"/>
          <w:color w:val="auto"/>
          <w:sz w:val="32"/>
          <w:szCs w:val="32"/>
          <w:highlight w:val="none"/>
          <w:u w:val="none" w:color="auto"/>
          <w:shd w:val="clear" w:color="auto" w:fill="auto"/>
          <w:lang w:val="en-US" w:eastAsia="zh-CN"/>
        </w:rPr>
        <w:t>不断优化专业设置。</w:t>
      </w:r>
      <w:r>
        <w:rPr>
          <w:rFonts w:hint="eastAsia"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t>积极拓宽升学通道，不断提升职教高考升学率。</w:t>
      </w:r>
    </w:p>
    <w:p>
      <w:pPr>
        <w:pageBreakBefore w:val="0"/>
        <w:widowControl w:val="0"/>
        <w:kinsoku/>
        <w:wordWrap/>
        <w:overflowPunct/>
        <w:topLinePunct w:val="0"/>
        <w:autoSpaceDE/>
        <w:autoSpaceDN/>
        <w:bidi w:val="0"/>
        <w:spacing w:line="600" w:lineRule="exact"/>
        <w:ind w:firstLine="629" w:firstLineChars="196"/>
        <w:textAlignment w:val="auto"/>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pPr>
      <w:r>
        <w:rPr>
          <w:rFonts w:hint="eastAsia" w:ascii="Times New Roman" w:hAnsi="Times New Roman" w:eastAsia="仿宋_GB2312" w:cs="Times New Roman"/>
          <w:b/>
          <w:bCs/>
          <w:strike w:val="0"/>
          <w:dstrike w:val="0"/>
          <w:color w:val="auto"/>
          <w:sz w:val="32"/>
          <w:szCs w:val="32"/>
          <w:highlight w:val="none"/>
          <w:u w:val="none" w:color="auto"/>
          <w:shd w:val="clear" w:color="auto" w:fill="auto"/>
          <w:lang w:val="en-US" w:eastAsia="zh-CN"/>
        </w:rPr>
        <w:t>打造高素质专业化的师资队伍。</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将教育家精神融入中小学校长、教师培训培养全过程。加大优秀教师典型培育力度，讲好师德故事。强化师德监督，严格落实师德失范“零容忍”。提升教师专业素养，推动教师更新学科知识，促进教育质量持续提升。破除“唯分数、唯升学、唯文凭”等单一评价导向，建立多元化“教师评价”模式。深入推进“县管校聘”改革，有效解决城乡间、学校间、学科间教师超缺编问题。合理推动农村学校学科富余教师进城顶岗锻炼，有效破解“城缺乡余”矛盾。完善义务教育教师待遇保障长效机制，提高教师政治地位、社会地位、职业地位。</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pPr>
      <w:r>
        <w:rPr>
          <w:rFonts w:hint="eastAsia" w:ascii="Times New Roman" w:hAnsi="Times New Roman" w:eastAsia="仿宋_GB2312" w:cs="Times New Roman"/>
          <w:b/>
          <w:bCs/>
          <w:strike w:val="0"/>
          <w:dstrike w:val="0"/>
          <w:color w:val="auto"/>
          <w:sz w:val="32"/>
          <w:szCs w:val="32"/>
          <w:highlight w:val="none"/>
          <w:u w:val="none" w:color="auto"/>
          <w:shd w:val="clear" w:color="auto" w:fill="auto"/>
          <w:lang w:val="en-US" w:eastAsia="zh-CN"/>
        </w:rPr>
        <w:t>全面实施立德树人“一号工程”。</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让思政课与党的创新理论武装同步推进，推动“思政课程”与“课程思政”同频共振，贯穿学生教育全程。加强社会主义先进文化、革命文化和中华优秀传统文化教育。充分发挥红色资源育人功能，不断拓展实践育人和网络育人的空间和阵地。推动理想信念教育常态化、制度化，推进中小学思政课建设一体化，打造一批“大思政课”品牌。扎实推进“五育并举”各项行动计划。建设健康学校，关注学生近视、肥胖、脊柱弯曲异常和心理健康等问题，统筹加强学生心理健康教育、生命安全教育。</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00" w:type="dxa"/>
          </w:tcPr>
          <w:p>
            <w:pPr>
              <w:jc w:val="center"/>
              <w:rPr>
                <w:rFonts w:hint="eastAsia" w:ascii="黑体" w:hAnsi="黑体" w:eastAsia="黑体" w:cs="黑体"/>
                <w:strike w:val="0"/>
                <w:dstrike w:val="0"/>
                <w:color w:val="auto"/>
                <w:sz w:val="24"/>
                <w:szCs w:val="24"/>
                <w:highlight w:val="none"/>
                <w:u w:val="none" w:color="auto"/>
                <w:lang w:val="en-US" w:eastAsia="zh-CN"/>
              </w:rPr>
            </w:pPr>
            <w:r>
              <w:rPr>
                <w:rFonts w:hint="eastAsia" w:ascii="黑体" w:hAnsi="黑体" w:eastAsia="黑体" w:cs="黑体"/>
                <w:strike w:val="0"/>
                <w:dstrike w:val="0"/>
                <w:color w:val="auto"/>
                <w:sz w:val="24"/>
                <w:szCs w:val="24"/>
                <w:highlight w:val="none"/>
                <w:u w:val="none" w:color="auto"/>
                <w:lang w:val="en-US" w:eastAsia="zh-CN"/>
              </w:rPr>
              <w:t>专栏11 教育重点工程</w:t>
            </w:r>
          </w:p>
          <w:p>
            <w:pPr>
              <w:keepNext w:val="0"/>
              <w:keepLines w:val="0"/>
              <w:pageBreakBefore w:val="0"/>
              <w:widowControl w:val="0"/>
              <w:kinsoku/>
              <w:wordWrap/>
              <w:overflowPunct/>
              <w:topLinePunct w:val="0"/>
              <w:bidi w:val="0"/>
              <w:adjustRightInd/>
              <w:snapToGrid/>
              <w:spacing w:line="400" w:lineRule="exact"/>
              <w:ind w:firstLine="421" w:firstLineChars="200"/>
              <w:textAlignment w:val="auto"/>
              <w:rPr>
                <w:rFonts w:hint="eastAsia"/>
                <w:b/>
                <w:bCs/>
                <w:strike w:val="0"/>
                <w:dstrike w:val="0"/>
                <w:color w:val="auto"/>
                <w:highlight w:val="none"/>
                <w:u w:val="none" w:color="auto"/>
                <w:lang w:val="en-US" w:eastAsia="zh-CN"/>
              </w:rPr>
            </w:pP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asciiTheme="minorEastAsia" w:hAnsiTheme="minorEastAsia" w:eastAsiaTheme="minorEastAsia" w:cstheme="minorEastAsia"/>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highlight w:val="none"/>
                <w:u w:val="none" w:color="auto"/>
                <w:lang w:val="en-US" w:eastAsia="zh-CN"/>
              </w:rPr>
              <w:t>教育普及水平提高工程：</w:t>
            </w:r>
            <w:r>
              <w:rPr>
                <w:rFonts w:hint="eastAsia" w:asciiTheme="minorEastAsia" w:hAnsiTheme="minorEastAsia" w:eastAsiaTheme="minorEastAsia" w:cstheme="minorEastAsia"/>
                <w:strike w:val="0"/>
                <w:dstrike w:val="0"/>
                <w:color w:val="auto"/>
                <w:highlight w:val="none"/>
                <w:u w:val="none" w:color="auto"/>
                <w:lang w:val="en-US" w:eastAsia="zh-CN"/>
              </w:rPr>
              <w:t>学前三年毛入园率达到95%以上，普惠幼儿园在园幼儿占比达到90%以上，公办幼儿园在园幼儿占比达到60%以上。义务教育巩固率100%。适龄残疾儿童入学率达到100%。</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asciiTheme="minorEastAsia" w:hAnsiTheme="minorEastAsia" w:eastAsiaTheme="minorEastAsia" w:cstheme="minorEastAsia"/>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highlight w:val="none"/>
                <w:u w:val="none" w:color="auto"/>
                <w:lang w:val="en-US" w:eastAsia="zh-CN"/>
              </w:rPr>
              <w:t>教育质量显著提升工程：</w:t>
            </w:r>
            <w:r>
              <w:rPr>
                <w:rFonts w:hint="eastAsia" w:asciiTheme="minorEastAsia" w:hAnsiTheme="minorEastAsia" w:eastAsiaTheme="minorEastAsia" w:cstheme="minorEastAsia"/>
                <w:strike w:val="0"/>
                <w:dstrike w:val="0"/>
                <w:color w:val="auto"/>
                <w:highlight w:val="none"/>
                <w:u w:val="none" w:color="auto"/>
                <w:lang w:val="en-US" w:eastAsia="zh-CN"/>
              </w:rPr>
              <w:t>新增辽宁省五星级幼儿园和大连市四星级幼儿园各2所，优质公办中心幼儿园乡镇占比达到95%以上。以发展学生核心素养为中心，中小学生综合素质明显提高，五育并举发展总体水平达到大连市</w:t>
            </w:r>
            <w:r>
              <w:rPr>
                <w:rFonts w:hint="eastAsia" w:asciiTheme="minorEastAsia" w:hAnsiTheme="minorEastAsia" w:cstheme="minorEastAsia"/>
                <w:strike w:val="0"/>
                <w:dstrike w:val="0"/>
                <w:color w:val="auto"/>
                <w:highlight w:val="none"/>
                <w:u w:val="none" w:color="auto"/>
                <w:lang w:val="en-US" w:eastAsia="zh-CN"/>
              </w:rPr>
              <w:t>同类地区</w:t>
            </w:r>
            <w:r>
              <w:rPr>
                <w:rFonts w:hint="eastAsia" w:asciiTheme="minorEastAsia" w:hAnsiTheme="minorEastAsia" w:eastAsiaTheme="minorEastAsia" w:cstheme="minorEastAsia"/>
                <w:strike w:val="0"/>
                <w:dstrike w:val="0"/>
                <w:color w:val="auto"/>
                <w:highlight w:val="none"/>
                <w:u w:val="none" w:color="auto"/>
                <w:lang w:val="en-US" w:eastAsia="zh-CN"/>
              </w:rPr>
              <w:t>前列。对塔岭镇、城山镇等7个乡镇的中小学实施资源整合。培育市级新优质学校26所。新增加省特色普通高中1所，省级优质普通高中占比达到60%。职业教育与产业发展深度融合，建好机械加工技术、畜禽生产技术专业2个产教融合共同体。强化学生实习实训，毕业生就业率稳定在96%以上。</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asciiTheme="minorEastAsia" w:hAnsiTheme="minorEastAsia" w:eastAsiaTheme="minorEastAsia" w:cstheme="minorEastAsia"/>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highlight w:val="none"/>
                <w:u w:val="none" w:color="auto"/>
                <w:lang w:val="en-US" w:eastAsia="zh-CN"/>
              </w:rPr>
              <w:t>义务教育学校标准化建设工程：</w:t>
            </w:r>
            <w:r>
              <w:rPr>
                <w:rFonts w:hint="eastAsia" w:asciiTheme="minorEastAsia" w:hAnsiTheme="minorEastAsia" w:eastAsiaTheme="minorEastAsia" w:cstheme="minorEastAsia"/>
                <w:strike w:val="0"/>
                <w:dstrike w:val="0"/>
                <w:color w:val="auto"/>
                <w:highlight w:val="none"/>
                <w:u w:val="none" w:color="auto"/>
                <w:lang w:val="en-US" w:eastAsia="zh-CN"/>
              </w:rPr>
              <w:t>实施校舍维修工程，预计年均投入500万元，持续改善义务教育阶段学校办学条件，消除安全隐患，缩小城乡教育基础设施差距，推动教育设施一体化发展；接续开展校舍消防改造工程，计划投入1000万元，改造校舍消防安全设施，消除消防安全隐患。</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asciiTheme="minorEastAsia" w:hAnsiTheme="minorEastAsia" w:eastAsiaTheme="minorEastAsia" w:cstheme="minorEastAsia"/>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b/>
                <w:bCs/>
                <w:strike w:val="0"/>
                <w:dstrike w:val="0"/>
                <w:color w:val="auto"/>
                <w:highlight w:val="none"/>
                <w:u w:val="none" w:color="auto"/>
                <w:lang w:val="en-US" w:eastAsia="zh-CN"/>
              </w:rPr>
              <w:t>教师队伍建设工程：</w:t>
            </w:r>
            <w:r>
              <w:rPr>
                <w:rFonts w:hint="eastAsia" w:asciiTheme="minorEastAsia" w:hAnsiTheme="minorEastAsia" w:eastAsiaTheme="minorEastAsia" w:cstheme="minorEastAsia"/>
                <w:strike w:val="0"/>
                <w:dstrike w:val="0"/>
                <w:color w:val="auto"/>
                <w:highlight w:val="none"/>
                <w:u w:val="none" w:color="auto"/>
                <w:lang w:val="en-US" w:eastAsia="zh-CN"/>
              </w:rPr>
              <w:t>按照“退三进一”原则，合理制定年度教师招聘计划，重点保障</w:t>
            </w:r>
            <w:r>
              <w:rPr>
                <w:rFonts w:hint="eastAsia" w:asciiTheme="minorEastAsia" w:hAnsiTheme="minorEastAsia" w:cstheme="minorEastAsia"/>
                <w:strike w:val="0"/>
                <w:dstrike w:val="0"/>
                <w:color w:val="auto"/>
                <w:highlight w:val="none"/>
                <w:u w:val="none" w:color="auto"/>
                <w:lang w:val="en-US" w:eastAsia="zh-CN"/>
              </w:rPr>
              <w:t>净增班级</w:t>
            </w:r>
            <w:r>
              <w:rPr>
                <w:rFonts w:hint="eastAsia" w:asciiTheme="minorEastAsia" w:hAnsiTheme="minorEastAsia" w:eastAsiaTheme="minorEastAsia" w:cstheme="minorEastAsia"/>
                <w:strike w:val="0"/>
                <w:dstrike w:val="0"/>
                <w:color w:val="auto"/>
                <w:highlight w:val="none"/>
                <w:u w:val="none" w:color="auto"/>
                <w:lang w:val="en-US" w:eastAsia="zh-CN"/>
              </w:rPr>
              <w:t>学校和紧缺学科的教师需求。用好用活交流机制，合理调配师资，教师数量控制在4700名左右。实施研训队伍“引领力提升工程”，力争培养区域卓越研训教师15名。实施骨干队伍“名师提升工程”，培养区域教学名师50名。建立健全科学完善的学校干部选拔任用、培训培养、考核评价机制，持续优化干部年龄结构，45周岁以下副校级干部占比15%、40周岁以下中层干部占比40%</w:t>
            </w:r>
            <w:r>
              <w:rPr>
                <w:rFonts w:hint="eastAsia" w:asciiTheme="minorEastAsia" w:hAnsiTheme="minorEastAsia" w:cstheme="minorEastAsia"/>
                <w:strike w:val="0"/>
                <w:dstrike w:val="0"/>
                <w:color w:val="auto"/>
                <w:highlight w:val="none"/>
                <w:u w:val="none" w:color="auto"/>
                <w:lang w:val="en-US" w:eastAsia="zh-CN"/>
              </w:rPr>
              <w:t>，</w:t>
            </w:r>
            <w:r>
              <w:rPr>
                <w:rFonts w:hint="eastAsia" w:asciiTheme="minorEastAsia" w:hAnsiTheme="minorEastAsia" w:eastAsiaTheme="minorEastAsia" w:cstheme="minorEastAsia"/>
                <w:strike w:val="0"/>
                <w:dstrike w:val="0"/>
                <w:color w:val="auto"/>
                <w:highlight w:val="none"/>
                <w:u w:val="none" w:color="auto"/>
                <w:lang w:val="en-US" w:eastAsia="zh-CN"/>
              </w:rPr>
              <w:t>年轻干部占比提高5个百分点，年度交流干部占比不低于18%，学习不少于56学时/年。</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strike w:val="0"/>
                <w:dstrike w:val="0"/>
                <w:color w:val="auto"/>
                <w:highlight w:val="none"/>
                <w:u w:val="none" w:color="auto"/>
                <w:shd w:val="clear" w:color="auto" w:fill="auto"/>
                <w:vertAlign w:val="baseline"/>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highlight w:val="none"/>
                <w:u w:val="none" w:color="auto"/>
                <w:lang w:val="en-US" w:eastAsia="zh-CN"/>
              </w:rPr>
              <w:t>校园安全管理提升工程：</w:t>
            </w:r>
            <w:r>
              <w:rPr>
                <w:rFonts w:hint="eastAsia" w:asciiTheme="minorEastAsia" w:hAnsiTheme="minorEastAsia" w:eastAsiaTheme="minorEastAsia" w:cstheme="minorEastAsia"/>
                <w:strike w:val="0"/>
                <w:dstrike w:val="0"/>
                <w:color w:val="auto"/>
                <w:highlight w:val="none"/>
                <w:u w:val="none" w:color="auto"/>
                <w:lang w:val="en-US" w:eastAsia="zh-CN"/>
              </w:rPr>
              <w:t>动态调整农村地区政府保障性校车供给数量和运行方案，提升校车使用效率和运营服务水平，到2030年，校车运行台数在现有基础上减少1/3。探索采取政府购买服务方式为学校提供安保、食堂、宿管、医疗卫生保健等服务，提高学校后勤保障的专业化、规范化水平。</w:t>
            </w:r>
          </w:p>
        </w:tc>
      </w:tr>
    </w:tbl>
    <w:p>
      <w:pPr>
        <w:pStyle w:val="4"/>
        <w:pageBreakBefore w:val="0"/>
        <w:widowControl w:val="0"/>
        <w:kinsoku/>
        <w:wordWrap/>
        <w:overflowPunct/>
        <w:topLinePunct w:val="0"/>
        <w:autoSpaceDE/>
        <w:autoSpaceDN/>
        <w:bidi w:val="0"/>
        <w:spacing w:line="600" w:lineRule="exact"/>
        <w:textAlignment w:val="auto"/>
        <w:rPr>
          <w:rFonts w:hint="eastAsia"/>
          <w:strike w:val="0"/>
          <w:dstrike w:val="0"/>
          <w:color w:val="auto"/>
          <w:highlight w:val="none"/>
          <w:u w:val="none" w:color="auto"/>
          <w:shd w:val="clear" w:color="auto" w:fill="auto"/>
          <w:lang w:val="en-US" w:eastAsia="zh-CN"/>
        </w:rPr>
      </w:pPr>
      <w:bookmarkStart w:id="148" w:name="_Toc735817813"/>
      <w:r>
        <w:rPr>
          <w:rFonts w:hint="eastAsia"/>
          <w:strike w:val="0"/>
          <w:dstrike w:val="0"/>
          <w:color w:val="auto"/>
          <w:highlight w:val="none"/>
          <w:u w:val="none" w:color="auto"/>
          <w:shd w:val="clear" w:color="auto" w:fill="auto"/>
          <w:lang w:val="en-US" w:eastAsia="zh-CN"/>
        </w:rPr>
        <w:t>第四节 加强健康庄河建设</w:t>
      </w:r>
      <w:bookmarkEnd w:id="148"/>
    </w:p>
    <w:p>
      <w:pPr>
        <w:pageBreakBefore w:val="0"/>
        <w:widowControl w:val="0"/>
        <w:kinsoku/>
        <w:wordWrap/>
        <w:overflowPunct/>
        <w:topLinePunct w:val="0"/>
        <w:autoSpaceDE/>
        <w:autoSpaceDN/>
        <w:bidi w:val="0"/>
        <w:spacing w:line="600" w:lineRule="exact"/>
        <w:ind w:firstLine="629" w:firstLineChars="196"/>
        <w:textAlignment w:val="auto"/>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pPr>
      <w:r>
        <w:rPr>
          <w:rFonts w:hint="eastAsia" w:ascii="Times New Roman" w:hAnsi="Times New Roman" w:eastAsia="仿宋_GB2312" w:cs="Times New Roman"/>
          <w:b/>
          <w:bCs/>
          <w:strike w:val="0"/>
          <w:dstrike w:val="0"/>
          <w:color w:val="auto"/>
          <w:sz w:val="32"/>
          <w:szCs w:val="32"/>
          <w:highlight w:val="none"/>
          <w:u w:val="none" w:color="auto"/>
          <w:shd w:val="clear" w:color="auto" w:fill="auto"/>
          <w:lang w:val="en-US" w:eastAsia="zh-CN"/>
        </w:rPr>
        <w:t>全面提升医疗机构服务能力。</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调整完善全市公立医院医疗资源布局，以公益性为导向推动公立医院改革。推动全市医疗卫生机构特别是公立医院医学重点学科建设，力争创建</w:t>
      </w:r>
      <w:r>
        <w:rPr>
          <w:rFonts w:hint="eastAsia"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t>3</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w:t>
      </w:r>
      <w:r>
        <w:rPr>
          <w:rFonts w:hint="eastAsia"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t>5</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个大连市二级重点专科，培育</w:t>
      </w:r>
      <w:r>
        <w:rPr>
          <w:rFonts w:hint="eastAsia"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t>8</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w:t>
      </w:r>
      <w:r>
        <w:rPr>
          <w:rFonts w:hint="eastAsia"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t>10</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个省级医学重点学科。加强肿瘤防治、慢病管理、微创介入、麻醉疼痛诊疗、重症监护等临床服务五大中心建设，加强胸痛、卒中、创伤、急救、危重孕产妇和危重新生儿救治等急诊急救五大中心建设。扩大儿科、心理健康和精神卫生服务供给。推动市中心医院、市中医医院医共体设备更新。更新完善急救车配套设施，高质量推进医院病房改造和护理队伍建设。引导民营医院与公立医院错位发展，促进民营医院依法执业、规范服务。鼓励社会力量发展儿科、康复等专科机构。</w:t>
      </w:r>
    </w:p>
    <w:p>
      <w:pPr>
        <w:pageBreakBefore w:val="0"/>
        <w:widowControl w:val="0"/>
        <w:kinsoku/>
        <w:wordWrap/>
        <w:overflowPunct/>
        <w:topLinePunct w:val="0"/>
        <w:autoSpaceDE/>
        <w:autoSpaceDN/>
        <w:bidi w:val="0"/>
        <w:spacing w:line="600" w:lineRule="exact"/>
        <w:ind w:firstLine="629" w:firstLineChars="196"/>
        <w:textAlignment w:val="auto"/>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pPr>
      <w:r>
        <w:rPr>
          <w:rFonts w:hint="eastAsia" w:ascii="Times New Roman" w:hAnsi="Times New Roman" w:eastAsia="仿宋_GB2312" w:cs="Times New Roman"/>
          <w:b/>
          <w:bCs/>
          <w:strike w:val="0"/>
          <w:dstrike w:val="0"/>
          <w:color w:val="auto"/>
          <w:sz w:val="32"/>
          <w:szCs w:val="32"/>
          <w:highlight w:val="none"/>
          <w:u w:val="none" w:color="auto"/>
          <w:shd w:val="clear" w:color="auto" w:fill="auto"/>
          <w:lang w:val="en-US" w:eastAsia="zh-CN"/>
        </w:rPr>
        <w:t>优化基层医疗卫生机构布局。</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加强紧密型县域医共体建设，人员和服务向基层下沉，做好巡诊派驻和延伸服务。完善分级诊疗体系，提升基层医疗卫生机构能力水平，建强乡镇卫生院、村卫生室。重点提升第二人民医院及长岭镇、大郑镇中心卫生院诊疗服务能力，夯实分级诊疗基础。依托牵头医院建立共享医学影像、检验中心，实现基层检查、上级诊断、结果互认，提升转诊流程标准化水平。</w:t>
      </w:r>
    </w:p>
    <w:p>
      <w:pPr>
        <w:pageBreakBefore w:val="0"/>
        <w:widowControl w:val="0"/>
        <w:kinsoku/>
        <w:wordWrap/>
        <w:overflowPunct/>
        <w:topLinePunct w:val="0"/>
        <w:autoSpaceDE/>
        <w:autoSpaceDN/>
        <w:bidi w:val="0"/>
        <w:spacing w:line="600" w:lineRule="exact"/>
        <w:ind w:firstLine="629" w:firstLineChars="196"/>
        <w:textAlignment w:val="auto"/>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pPr>
      <w:r>
        <w:rPr>
          <w:rFonts w:hint="eastAsia" w:ascii="Times New Roman" w:hAnsi="Times New Roman" w:eastAsia="仿宋_GB2312" w:cs="Times New Roman"/>
          <w:b/>
          <w:bCs/>
          <w:strike w:val="0"/>
          <w:dstrike w:val="0"/>
          <w:color w:val="auto"/>
          <w:sz w:val="32"/>
          <w:szCs w:val="32"/>
          <w:highlight w:val="none"/>
          <w:u w:val="none" w:color="auto"/>
          <w:shd w:val="clear" w:color="auto" w:fill="auto"/>
          <w:lang w:val="en-US" w:eastAsia="zh-CN"/>
        </w:rPr>
        <w:t>不断健全公共卫生服务体系。</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有序推进医防协同、医防融合，完善重大疫情防控和应急体系能力建设，着力提升“五项能力”。</w:t>
      </w:r>
      <w:r>
        <w:rPr>
          <w:rFonts w:hint="eastAsia" w:ascii="仿宋_GB2312" w:hAnsi="仿宋_GB2312" w:eastAsia="仿宋_GB2312" w:cs="仿宋_GB2312"/>
          <w:i w:val="0"/>
          <w:iCs w:val="0"/>
          <w:caps w:val="0"/>
          <w:strike w:val="0"/>
          <w:dstrike w:val="0"/>
          <w:color w:val="auto"/>
          <w:spacing w:val="0"/>
          <w:sz w:val="32"/>
          <w:szCs w:val="32"/>
          <w:highlight w:val="none"/>
          <w:u w:val="none" w:color="auto"/>
          <w:shd w:val="clear" w:color="auto" w:fill="auto"/>
          <w:lang w:val="en-US" w:eastAsia="zh-CN"/>
        </w:rPr>
        <w:t>加强传染病防治工作，提高慢性非传染性疾病防治水平</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完善重大传染病防控机制，建立疫情报告联动体系，强化基层卫生应急演练和物资储备。强化疫苗预防接种、重点慢性病早期筛查干预和分类管理。加强市疾病预防控制中心基础设施和能力建设，提升监测预警、应急处置及实验室智能化水平。推进家庭医生签约服务，推动为签约慢病患者提供长期处方服务。</w:t>
      </w:r>
    </w:p>
    <w:p>
      <w:pPr>
        <w:pageBreakBefore w:val="0"/>
        <w:widowControl w:val="0"/>
        <w:kinsoku/>
        <w:wordWrap/>
        <w:overflowPunct/>
        <w:topLinePunct w:val="0"/>
        <w:autoSpaceDE/>
        <w:autoSpaceDN/>
        <w:bidi w:val="0"/>
        <w:spacing w:line="600" w:lineRule="exact"/>
        <w:ind w:firstLine="629" w:firstLineChars="196"/>
        <w:textAlignment w:val="auto"/>
        <w:rPr>
          <w:rFonts w:hint="default" w:ascii="Times New Roman" w:hAnsi="Times New Roman" w:eastAsia="仿宋_GB2312" w:cs="Times New Roman"/>
          <w:strike w:val="0"/>
          <w:dstrike w:val="0"/>
          <w:color w:val="auto"/>
          <w:sz w:val="32"/>
          <w:szCs w:val="32"/>
          <w:highlight w:val="none"/>
          <w:u w:val="none" w:color="auto"/>
          <w:shd w:val="clear" w:color="auto" w:fill="auto"/>
          <w:lang w:val="en-US" w:eastAsia="zh-CN"/>
        </w:rPr>
      </w:pPr>
      <w:r>
        <w:rPr>
          <w:rFonts w:hint="eastAsia" w:ascii="Times New Roman" w:hAnsi="Times New Roman" w:eastAsia="仿宋_GB2312" w:cs="Times New Roman"/>
          <w:b/>
          <w:bCs/>
          <w:strike w:val="0"/>
          <w:dstrike w:val="0"/>
          <w:color w:val="auto"/>
          <w:sz w:val="32"/>
          <w:szCs w:val="32"/>
          <w:highlight w:val="none"/>
          <w:u w:val="none" w:color="auto"/>
          <w:shd w:val="clear" w:color="auto" w:fill="auto"/>
          <w:lang w:val="en-US" w:eastAsia="zh-CN"/>
        </w:rPr>
        <w:t>推动中医药传承创新发展。</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构建以市中医医院为龙头、基层中医馆为基础的中医药服务体系。实施基层中医药服务能力提升工程，推广</w:t>
      </w:r>
      <w:r>
        <w:rPr>
          <w:rFonts w:hint="eastAsia"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t>6</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类以上中医药技术覆盖所有社区卫生服务中心和乡镇卫生院，</w:t>
      </w:r>
      <w:r>
        <w:rPr>
          <w:rFonts w:hint="eastAsia"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t>4</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类技术覆</w:t>
      </w:r>
      <w:r>
        <w:rPr>
          <w:rFonts w:hint="eastAsia"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t>盖70%</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村卫生室。加强中医药养生保健、康复及健康旅游品牌建设。依托培训中心推广普及适宜技术，提升基层中医药服务可及性。大力弘扬中医药文化。实施中医药特色人才培养工程。</w:t>
      </w:r>
    </w:p>
    <w:p>
      <w:pPr>
        <w:pageBreakBefore w:val="0"/>
        <w:widowControl w:val="0"/>
        <w:kinsoku/>
        <w:wordWrap/>
        <w:overflowPunct/>
        <w:topLinePunct w:val="0"/>
        <w:autoSpaceDE/>
        <w:autoSpaceDN/>
        <w:bidi w:val="0"/>
        <w:spacing w:line="600" w:lineRule="exact"/>
        <w:ind w:firstLine="629" w:firstLineChars="196"/>
        <w:textAlignment w:val="auto"/>
        <w:rPr>
          <w:rFonts w:hint="eastAsia" w:ascii="Times New Roman" w:hAnsi="Times New Roman" w:eastAsia="仿宋_GB2312" w:cs="Times New Roman"/>
          <w:b/>
          <w:bCs/>
          <w:strike w:val="0"/>
          <w:dstrike w:val="0"/>
          <w:color w:val="auto"/>
          <w:sz w:val="32"/>
          <w:szCs w:val="32"/>
          <w:highlight w:val="none"/>
          <w:u w:val="none" w:color="auto"/>
          <w:shd w:val="clear" w:color="auto" w:fill="auto"/>
          <w:lang w:val="en-US" w:eastAsia="zh-CN"/>
        </w:rPr>
      </w:pPr>
      <w:r>
        <w:rPr>
          <w:rFonts w:hint="eastAsia" w:ascii="Times New Roman" w:hAnsi="Times New Roman" w:eastAsia="仿宋_GB2312" w:cs="Times New Roman"/>
          <w:b/>
          <w:bCs/>
          <w:strike w:val="0"/>
          <w:dstrike w:val="0"/>
          <w:color w:val="auto"/>
          <w:sz w:val="32"/>
          <w:szCs w:val="32"/>
          <w:highlight w:val="none"/>
          <w:u w:val="none" w:color="auto"/>
          <w:shd w:val="clear" w:color="auto" w:fill="auto"/>
          <w:lang w:val="en-US" w:eastAsia="zh-CN"/>
        </w:rPr>
        <w:t>深化惠民医疗卫生服务。</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统筹医共体医疗、公卫服务，拓展“互联网</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医疗”模式，将符合条件的线上服务纳入医保支付。保障重点人群健康，推进医养融合，在乡镇敬老院设置医疗延伸点，实现集中供养老人医疗服务零距离。开展安宁疗护中心建设，为癌症晚期患者提供人文关怀，补齐康复医疗、长期照护等短板。巩固基本药物制度成果，强化公立医院监督管理，持续强化医疗行为、医疗费用等方面监管力度。</w:t>
      </w:r>
    </w:p>
    <w:p>
      <w:pPr>
        <w:keepNext w:val="0"/>
        <w:keepLines w:val="0"/>
        <w:pageBreakBefore w:val="0"/>
        <w:widowControl w:val="0"/>
        <w:kinsoku/>
        <w:wordWrap/>
        <w:overflowPunct/>
        <w:topLinePunct w:val="0"/>
        <w:autoSpaceDE/>
        <w:autoSpaceDN/>
        <w:bidi w:val="0"/>
        <w:adjustRightInd/>
        <w:snapToGrid/>
        <w:spacing w:line="600" w:lineRule="exact"/>
        <w:ind w:firstLine="629" w:firstLineChars="196"/>
        <w:textAlignment w:val="auto"/>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pPr>
      <w:r>
        <w:rPr>
          <w:rFonts w:hint="eastAsia" w:ascii="Times New Roman" w:hAnsi="Times New Roman" w:eastAsia="仿宋_GB2312" w:cs="Times New Roman"/>
          <w:b/>
          <w:bCs/>
          <w:strike w:val="0"/>
          <w:dstrike w:val="0"/>
          <w:color w:val="auto"/>
          <w:sz w:val="32"/>
          <w:szCs w:val="32"/>
          <w:highlight w:val="none"/>
          <w:u w:val="none" w:color="auto"/>
          <w:shd w:val="clear" w:color="auto" w:fill="auto"/>
          <w:lang w:val="en-US" w:eastAsia="zh-CN"/>
        </w:rPr>
        <w:t>加强医疗卫生人才队伍建设。</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加大农村和紧缺专业人才培养扶持力度。落实执业医师服务基层制度，激励乡村医生参加学历教育，考取执业（助理）医师资格。加强基层医疗卫生人员培训。加强公共卫生、全科、儿科、重症医学、呼吸、精神科、传染病、老年医学等领域急需紧缺专业人才培养培训，完善公共卫生与临床医学复合型人才培养机制。加强护理人才队伍建设。</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00" w:type="dxa"/>
          </w:tcPr>
          <w:p>
            <w:pPr>
              <w:jc w:val="center"/>
              <w:rPr>
                <w:rFonts w:hint="eastAsia" w:ascii="黑体" w:hAnsi="黑体" w:eastAsia="黑体" w:cs="黑体"/>
                <w:strike w:val="0"/>
                <w:dstrike w:val="0"/>
                <w:color w:val="auto"/>
                <w:sz w:val="24"/>
                <w:szCs w:val="24"/>
                <w:highlight w:val="none"/>
                <w:u w:val="none" w:color="auto"/>
                <w:lang w:val="en-US" w:eastAsia="zh-CN"/>
              </w:rPr>
            </w:pPr>
            <w:r>
              <w:rPr>
                <w:rFonts w:hint="eastAsia" w:ascii="黑体" w:hAnsi="黑体" w:eastAsia="黑体" w:cs="黑体"/>
                <w:strike w:val="0"/>
                <w:dstrike w:val="0"/>
                <w:color w:val="auto"/>
                <w:sz w:val="24"/>
                <w:szCs w:val="24"/>
                <w:highlight w:val="none"/>
                <w:u w:val="none" w:color="auto"/>
                <w:lang w:val="en-US" w:eastAsia="zh-CN"/>
              </w:rPr>
              <w:t>专栏12 卫生健康重点工程</w:t>
            </w:r>
          </w:p>
          <w:p>
            <w:pPr>
              <w:keepNext w:val="0"/>
              <w:keepLines w:val="0"/>
              <w:pageBreakBefore w:val="0"/>
              <w:widowControl w:val="0"/>
              <w:kinsoku/>
              <w:wordWrap/>
              <w:overflowPunct/>
              <w:topLinePunct w:val="0"/>
              <w:bidi w:val="0"/>
              <w:adjustRightInd/>
              <w:snapToGrid/>
              <w:spacing w:line="400" w:lineRule="exact"/>
              <w:textAlignment w:val="auto"/>
              <w:rPr>
                <w:rFonts w:hint="eastAsia"/>
                <w:strike w:val="0"/>
                <w:dstrike w:val="0"/>
                <w:color w:val="auto"/>
                <w:highlight w:val="none"/>
                <w:u w:val="none" w:color="auto"/>
                <w:lang w:val="en-US" w:eastAsia="zh-CN"/>
              </w:rPr>
            </w:pP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asciiTheme="minorEastAsia" w:hAnsiTheme="minorEastAsia" w:eastAsiaTheme="minorEastAsia" w:cstheme="minorEastAsia"/>
                <w:b w:val="0"/>
                <w:bCs w:val="0"/>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default"/>
                <w:b/>
                <w:bCs/>
                <w:strike w:val="0"/>
                <w:dstrike w:val="0"/>
                <w:color w:val="auto"/>
                <w:highlight w:val="none"/>
                <w:u w:val="none" w:color="auto"/>
                <w:lang w:val="en-US" w:eastAsia="zh-CN"/>
              </w:rPr>
              <w:t>医疗机构服务能力提升工程：</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庄河市中心医院两院区病房升级改造</w:t>
            </w:r>
            <w:r>
              <w:rPr>
                <w:rFonts w:hint="eastAsia" w:asciiTheme="minorEastAsia" w:hAnsiTheme="minorEastAsia" w:cstheme="minorEastAsia"/>
                <w:b w:val="0"/>
                <w:bCs w:val="0"/>
                <w:strike w:val="0"/>
                <w:dstrike w:val="0"/>
                <w:color w:val="auto"/>
                <w:highlight w:val="none"/>
                <w:u w:val="none" w:color="auto"/>
                <w:lang w:val="en-US" w:eastAsia="zh-CN"/>
              </w:rPr>
              <w:t>项目</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、庄河市中医医院两院区病房升级改造</w:t>
            </w:r>
            <w:r>
              <w:rPr>
                <w:rFonts w:hint="eastAsia" w:asciiTheme="minorEastAsia" w:hAnsiTheme="minorEastAsia" w:cstheme="minorEastAsia"/>
                <w:b w:val="0"/>
                <w:bCs w:val="0"/>
                <w:strike w:val="0"/>
                <w:dstrike w:val="0"/>
                <w:color w:val="auto"/>
                <w:highlight w:val="none"/>
                <w:u w:val="none" w:color="auto"/>
                <w:lang w:val="en-US" w:eastAsia="zh-CN"/>
              </w:rPr>
              <w:t>项目</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、庄河市医养结合项目。</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asciiTheme="minorEastAsia" w:hAnsiTheme="minorEastAsia" w:eastAsiaTheme="minorEastAsia" w:cstheme="minorEastAsia"/>
                <w:b w:val="0"/>
                <w:bCs w:val="0"/>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highlight w:val="none"/>
                <w:u w:val="none" w:color="auto"/>
                <w:lang w:val="en-US" w:eastAsia="zh-CN"/>
              </w:rPr>
              <w:t>基层医疗机构优化布局工程：</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庄河市2026年医疗卫生强基工程项目</w:t>
            </w:r>
            <w:r>
              <w:rPr>
                <w:rFonts w:hint="eastAsia" w:asciiTheme="minorEastAsia" w:hAnsiTheme="minorEastAsia" w:cstheme="minorEastAsia"/>
                <w:b w:val="0"/>
                <w:bCs w:val="0"/>
                <w:strike w:val="0"/>
                <w:dstrike w:val="0"/>
                <w:color w:val="auto"/>
                <w:highlight w:val="none"/>
                <w:u w:val="none" w:color="auto"/>
                <w:lang w:val="en-US" w:eastAsia="zh-CN"/>
              </w:rPr>
              <w:t>。</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asciiTheme="minorEastAsia" w:hAnsiTheme="minorEastAsia" w:eastAsiaTheme="minorEastAsia" w:cstheme="minorEastAsia"/>
                <w:b w:val="0"/>
                <w:bCs w:val="0"/>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highlight w:val="none"/>
                <w:u w:val="none" w:color="auto"/>
                <w:lang w:val="en-US" w:eastAsia="zh-CN"/>
              </w:rPr>
              <w:t>深化惠民医疗卫生服务工程：</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庄河市妇幼保健院公区及病房升级改造</w:t>
            </w:r>
            <w:r>
              <w:rPr>
                <w:rFonts w:hint="eastAsia" w:asciiTheme="minorEastAsia" w:hAnsiTheme="minorEastAsia" w:cstheme="minorEastAsia"/>
                <w:b w:val="0"/>
                <w:bCs w:val="0"/>
                <w:strike w:val="0"/>
                <w:dstrike w:val="0"/>
                <w:color w:val="auto"/>
                <w:highlight w:val="none"/>
                <w:u w:val="none" w:color="auto"/>
                <w:lang w:val="en-US" w:eastAsia="zh-CN"/>
              </w:rPr>
              <w:t>项目</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strike w:val="0"/>
                <w:dstrike w:val="0"/>
                <w:color w:val="auto"/>
                <w:highlight w:val="none"/>
                <w:u w:val="none" w:color="auto"/>
                <w:shd w:val="clear" w:color="auto" w:fill="auto"/>
                <w:vertAlign w:val="baseline"/>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highlight w:val="none"/>
                <w:u w:val="none" w:color="auto"/>
                <w:lang w:val="en-US" w:eastAsia="zh-CN"/>
              </w:rPr>
              <w:t>医疗卫生人才队伍建设工程：</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每年引进优秀医疗卫生人才100人左右。</w:t>
            </w:r>
          </w:p>
        </w:tc>
      </w:tr>
    </w:tbl>
    <w:p>
      <w:pPr>
        <w:pStyle w:val="4"/>
        <w:pageBreakBefore w:val="0"/>
        <w:widowControl w:val="0"/>
        <w:kinsoku/>
        <w:wordWrap/>
        <w:overflowPunct/>
        <w:topLinePunct w:val="0"/>
        <w:autoSpaceDE/>
        <w:autoSpaceDN/>
        <w:bidi w:val="0"/>
        <w:spacing w:line="600" w:lineRule="exact"/>
        <w:jc w:val="center"/>
        <w:textAlignment w:val="auto"/>
        <w:rPr>
          <w:rFonts w:hint="default"/>
          <w:strike w:val="0"/>
          <w:dstrike w:val="0"/>
          <w:color w:val="auto"/>
          <w:sz w:val="32"/>
          <w:szCs w:val="32"/>
          <w:highlight w:val="none"/>
          <w:u w:val="none" w:color="auto"/>
          <w:shd w:val="clear" w:color="auto" w:fill="auto"/>
          <w:lang w:val="en-US" w:eastAsia="zh-CN"/>
        </w:rPr>
      </w:pPr>
      <w:bookmarkStart w:id="149" w:name="_Toc471260370"/>
      <w:r>
        <w:rPr>
          <w:rFonts w:hint="eastAsia"/>
          <w:strike w:val="0"/>
          <w:dstrike w:val="0"/>
          <w:color w:val="auto"/>
          <w:sz w:val="32"/>
          <w:szCs w:val="32"/>
          <w:highlight w:val="none"/>
          <w:u w:val="none" w:color="auto"/>
          <w:shd w:val="clear" w:color="auto" w:fill="auto"/>
          <w:lang w:val="en-US" w:eastAsia="zh-CN"/>
        </w:rPr>
        <w:t>第五节 聚焦“一老一小”促进人口高质量发展</w:t>
      </w:r>
      <w:bookmarkEnd w:id="149"/>
    </w:p>
    <w:p>
      <w:pPr>
        <w:pageBreakBefore w:val="0"/>
        <w:widowControl w:val="0"/>
        <w:kinsoku/>
        <w:wordWrap/>
        <w:overflowPunct/>
        <w:topLinePunct w:val="0"/>
        <w:autoSpaceDE/>
        <w:autoSpaceDN/>
        <w:bidi w:val="0"/>
        <w:spacing w:line="600" w:lineRule="exact"/>
        <w:ind w:firstLine="629" w:firstLineChars="196"/>
        <w:textAlignment w:val="auto"/>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pPr>
      <w:r>
        <w:rPr>
          <w:rFonts w:hint="eastAsia" w:ascii="Times New Roman" w:hAnsi="Times New Roman" w:eastAsia="仿宋_GB2312" w:cs="Times New Roman"/>
          <w:b/>
          <w:bCs/>
          <w:strike w:val="0"/>
          <w:dstrike w:val="0"/>
          <w:color w:val="auto"/>
          <w:sz w:val="32"/>
          <w:szCs w:val="32"/>
          <w:highlight w:val="none"/>
          <w:u w:val="none" w:color="auto"/>
          <w:shd w:val="clear" w:color="auto" w:fill="auto"/>
          <w:lang w:val="en-US" w:eastAsia="zh-CN"/>
        </w:rPr>
        <w:t>完善基本养老服务体系。</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健全居家、社区、机构相协调，医养、康养相结合，普惠和市场化服务并行的养老服务体系。</w:t>
      </w:r>
      <w:r>
        <w:rPr>
          <w:rFonts w:hint="eastAsia" w:ascii="Times New Roman" w:hAnsi="Times New Roman" w:eastAsia="仿宋_GB2312" w:cs="Times New Roman"/>
          <w:b w:val="0"/>
          <w:bCs w:val="0"/>
          <w:strike w:val="0"/>
          <w:dstrike w:val="0"/>
          <w:color w:val="auto"/>
          <w:sz w:val="32"/>
          <w:szCs w:val="32"/>
          <w:highlight w:val="none"/>
          <w:u w:val="none" w:color="auto"/>
          <w:lang w:val="en-US" w:eastAsia="zh-CN"/>
        </w:rPr>
        <w:t>巩固深化“</w:t>
      </w:r>
      <w:r>
        <w:rPr>
          <w:rFonts w:hint="default" w:ascii="Times New Roman" w:hAnsi="Times New Roman" w:eastAsia="仿宋_GB2312" w:cs="Times New Roman"/>
          <w:b w:val="0"/>
          <w:bCs w:val="0"/>
          <w:strike w:val="0"/>
          <w:dstrike w:val="0"/>
          <w:color w:val="auto"/>
          <w:sz w:val="32"/>
          <w:szCs w:val="32"/>
          <w:highlight w:val="none"/>
          <w:u w:val="none" w:color="auto"/>
          <w:lang w:val="en-US" w:eastAsia="zh-CN"/>
        </w:rPr>
        <w:t>公建民营</w:t>
      </w:r>
      <w:r>
        <w:rPr>
          <w:rFonts w:hint="eastAsia" w:ascii="Times New Roman" w:hAnsi="Times New Roman" w:eastAsia="仿宋_GB2312" w:cs="Times New Roman"/>
          <w:b w:val="0"/>
          <w:bCs w:val="0"/>
          <w:strike w:val="0"/>
          <w:dstrike w:val="0"/>
          <w:color w:val="auto"/>
          <w:sz w:val="32"/>
          <w:szCs w:val="32"/>
          <w:highlight w:val="none"/>
          <w:u w:val="none" w:color="auto"/>
          <w:lang w:val="en-US" w:eastAsia="zh-CN"/>
        </w:rPr>
        <w:t>”</w:t>
      </w:r>
      <w:r>
        <w:rPr>
          <w:rFonts w:hint="default" w:ascii="Times New Roman" w:hAnsi="Times New Roman" w:eastAsia="仿宋_GB2312" w:cs="Times New Roman"/>
          <w:b w:val="0"/>
          <w:bCs w:val="0"/>
          <w:strike w:val="0"/>
          <w:dstrike w:val="0"/>
          <w:color w:val="auto"/>
          <w:sz w:val="32"/>
          <w:szCs w:val="32"/>
          <w:highlight w:val="none"/>
          <w:u w:val="none" w:color="auto"/>
          <w:lang w:val="en-US" w:eastAsia="zh-CN"/>
        </w:rPr>
        <w:t>改革成果</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，鼓励更多优质社会资本提供养老服务。发展普惠性养老服务和互助式养老，</w:t>
      </w:r>
      <w:r>
        <w:rPr>
          <w:rFonts w:hint="default" w:ascii="Times New Roman" w:hAnsi="Times New Roman" w:eastAsia="仿宋_GB2312" w:cs="Times New Roman"/>
          <w:b w:val="0"/>
          <w:strike w:val="0"/>
          <w:dstrike w:val="0"/>
          <w:color w:val="auto"/>
          <w:kern w:val="2"/>
          <w:sz w:val="32"/>
          <w:szCs w:val="32"/>
          <w:highlight w:val="none"/>
          <w:u w:val="none" w:color="auto"/>
          <w:lang w:val="en-US" w:eastAsia="zh-CN" w:bidi="ar-SA"/>
        </w:rPr>
        <w:t>引导更多养老机构加强护理型床位建设，到</w:t>
      </w:r>
      <w:r>
        <w:rPr>
          <w:rFonts w:hint="default"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t>2030</w:t>
      </w:r>
      <w:r>
        <w:rPr>
          <w:rFonts w:hint="default" w:ascii="Times New Roman" w:hAnsi="Times New Roman" w:eastAsia="仿宋_GB2312" w:cs="Times New Roman"/>
          <w:b w:val="0"/>
          <w:strike w:val="0"/>
          <w:dstrike w:val="0"/>
          <w:color w:val="auto"/>
          <w:kern w:val="2"/>
          <w:sz w:val="32"/>
          <w:szCs w:val="32"/>
          <w:highlight w:val="none"/>
          <w:u w:val="none" w:color="auto"/>
          <w:lang w:val="en-US" w:eastAsia="zh-CN" w:bidi="ar-SA"/>
        </w:rPr>
        <w:t>年，全市养老机构护理型床位占比不低于</w:t>
      </w:r>
      <w:r>
        <w:rPr>
          <w:rFonts w:hint="eastAsia" w:ascii="仿宋_GB2312" w:eastAsia="仿宋_GB2312" w:cstheme="minorBidi"/>
          <w:strike w:val="0"/>
          <w:dstrike w:val="0"/>
          <w:color w:val="auto"/>
          <w:kern w:val="2"/>
          <w:sz w:val="32"/>
          <w:szCs w:val="32"/>
          <w:highlight w:val="none"/>
          <w:u w:val="none" w:color="auto"/>
          <w:shd w:val="clear" w:color="auto" w:fill="auto"/>
          <w:lang w:val="en-US" w:eastAsia="zh-CN" w:bidi="ar-SA"/>
        </w:rPr>
        <w:t>75</w:t>
      </w:r>
      <w:r>
        <w:rPr>
          <w:rFonts w:hint="default"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t>%。</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持续开展特困供养服务机构升级改造，灵活运用公建民营、购买服务等方式，在多个养老设施分散提供兜底保障床位。建设</w:t>
      </w:r>
      <w:r>
        <w:rPr>
          <w:rFonts w:hint="eastAsia"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t>1</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所为全市特困人员及部分经济困难失能老年人提供集中供养的兜底保障的养老设施。</w:t>
      </w:r>
    </w:p>
    <w:p>
      <w:pPr>
        <w:pageBreakBefore w:val="0"/>
        <w:widowControl w:val="0"/>
        <w:kinsoku/>
        <w:wordWrap/>
        <w:overflowPunct/>
        <w:topLinePunct w:val="0"/>
        <w:autoSpaceDE/>
        <w:autoSpaceDN/>
        <w:bidi w:val="0"/>
        <w:spacing w:line="600" w:lineRule="exact"/>
        <w:ind w:firstLine="629" w:firstLineChars="196"/>
        <w:textAlignment w:val="auto"/>
        <w:rPr>
          <w:rFonts w:hint="eastAsia" w:ascii="仿宋_GB2312" w:hAnsi="仿宋_GB2312" w:eastAsia="仿宋_GB2312" w:cs="仿宋_GB2312"/>
          <w:b w:val="0"/>
          <w:strike w:val="0"/>
          <w:dstrike w:val="0"/>
          <w:color w:val="auto"/>
          <w:kern w:val="2"/>
          <w:sz w:val="32"/>
          <w:szCs w:val="32"/>
          <w:highlight w:val="none"/>
          <w:u w:val="none" w:color="auto"/>
          <w:shd w:val="clear" w:color="auto" w:fill="auto"/>
          <w:lang w:val="en-US" w:eastAsia="zh-CN" w:bidi="ar-SA"/>
        </w:rPr>
      </w:pPr>
      <w:r>
        <w:rPr>
          <w:rFonts w:hint="default" w:ascii="Times New Roman" w:hAnsi="Times New Roman" w:eastAsia="仿宋_GB2312" w:cs="Times New Roman"/>
          <w:b/>
          <w:bCs/>
          <w:strike w:val="0"/>
          <w:dstrike w:val="0"/>
          <w:color w:val="auto"/>
          <w:sz w:val="32"/>
          <w:szCs w:val="32"/>
          <w:highlight w:val="none"/>
          <w:u w:val="none" w:color="auto"/>
          <w:shd w:val="clear" w:color="auto" w:fill="auto"/>
          <w:lang w:val="en-US" w:eastAsia="zh-CN"/>
        </w:rPr>
        <w:t>建立三级养老服务网络</w:t>
      </w:r>
      <w:r>
        <w:rPr>
          <w:rFonts w:hint="eastAsia" w:ascii="Times New Roman" w:hAnsi="Times New Roman" w:eastAsia="仿宋_GB2312" w:cs="Times New Roman"/>
          <w:b/>
          <w:bCs/>
          <w:strike w:val="0"/>
          <w:dstrike w:val="0"/>
          <w:color w:val="auto"/>
          <w:sz w:val="32"/>
          <w:szCs w:val="32"/>
          <w:highlight w:val="none"/>
          <w:u w:val="none" w:color="auto"/>
          <w:shd w:val="clear" w:color="auto" w:fill="auto"/>
          <w:lang w:val="en-US" w:eastAsia="zh-CN"/>
        </w:rPr>
        <w:t>。</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持续完善乡镇（街道）层面养老设施规划建设。打造</w:t>
      </w:r>
      <w:r>
        <w:rPr>
          <w:rFonts w:hint="eastAsia"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t>“15</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分钟养老服务圈”，统筹整合村（社区）养老服务网点，推进连锁化、标准化、专业化运营。大力发展嵌入在社区的日托、短托、助餐、助浴、康复辅具等服务，为老年人提供“一站式”服务。巩固居家养老基础作用，</w:t>
      </w:r>
      <w:r>
        <w:rPr>
          <w:rFonts w:hint="eastAsia" w:ascii="仿宋_GB2312" w:hAnsi="仿宋_GB2312" w:eastAsia="仿宋_GB2312" w:cs="仿宋_GB2312"/>
          <w:b w:val="0"/>
          <w:strike w:val="0"/>
          <w:dstrike w:val="0"/>
          <w:color w:val="auto"/>
          <w:kern w:val="2"/>
          <w:sz w:val="32"/>
          <w:szCs w:val="32"/>
          <w:highlight w:val="none"/>
          <w:u w:val="none" w:color="auto"/>
          <w:shd w:val="clear" w:color="auto" w:fill="auto"/>
          <w:lang w:val="en-US" w:eastAsia="zh-CN" w:bidi="ar-SA"/>
        </w:rPr>
        <w:t>支持有改造需求的分散供养特困老年人家庭、低保对象中的高龄、失能及其他有居家适老化改造需求的老年人家庭实施适老化改造</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。推动“智慧养老”创新发展，大力发展“候鸟式”旅居养老产业。</w:t>
      </w:r>
      <w:r>
        <w:rPr>
          <w:rFonts w:hint="eastAsia" w:ascii="仿宋_GB2312" w:hAnsi="仿宋_GB2312" w:eastAsia="仿宋_GB2312" w:cs="仿宋_GB2312"/>
          <w:b w:val="0"/>
          <w:strike w:val="0"/>
          <w:dstrike w:val="0"/>
          <w:color w:val="auto"/>
          <w:kern w:val="2"/>
          <w:sz w:val="32"/>
          <w:szCs w:val="32"/>
          <w:highlight w:val="none"/>
          <w:u w:val="none" w:color="auto"/>
          <w:shd w:val="clear" w:color="auto" w:fill="auto"/>
          <w:lang w:val="en-US" w:eastAsia="zh-CN" w:bidi="ar-SA"/>
        </w:rPr>
        <w:t>鼓励具备条件的养老机构开展安宁疗护服务。</w:t>
      </w:r>
    </w:p>
    <w:p>
      <w:pPr>
        <w:pageBreakBefore w:val="0"/>
        <w:widowControl w:val="0"/>
        <w:kinsoku/>
        <w:wordWrap/>
        <w:overflowPunct/>
        <w:topLinePunct w:val="0"/>
        <w:autoSpaceDE/>
        <w:autoSpaceDN/>
        <w:bidi w:val="0"/>
        <w:spacing w:line="600" w:lineRule="exact"/>
        <w:ind w:firstLine="629" w:firstLineChars="196"/>
        <w:textAlignment w:val="auto"/>
        <w:rPr>
          <w:rFonts w:hint="default" w:ascii="仿宋_GB2312" w:hAnsi="仿宋_GB2312" w:eastAsia="仿宋_GB2312" w:cs="仿宋_GB2312"/>
          <w:b w:val="0"/>
          <w:strike w:val="0"/>
          <w:dstrike w:val="0"/>
          <w:color w:val="auto"/>
          <w:kern w:val="2"/>
          <w:sz w:val="32"/>
          <w:szCs w:val="32"/>
          <w:highlight w:val="none"/>
          <w:u w:val="none" w:color="auto"/>
          <w:shd w:val="clear" w:color="auto" w:fill="auto"/>
          <w:lang w:val="en-US" w:eastAsia="zh-CN" w:bidi="ar-SA"/>
        </w:rPr>
      </w:pPr>
      <w:r>
        <w:rPr>
          <w:rFonts w:hint="eastAsia"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t>积极发展“银发经济”。</w:t>
      </w:r>
      <w:r>
        <w:rPr>
          <w:rFonts w:hint="eastAsia" w:ascii="仿宋_GB2312" w:hAnsi="仿宋_GB2312" w:eastAsia="仿宋_GB2312" w:cs="仿宋_GB2312"/>
          <w:b w:val="0"/>
          <w:strike w:val="0"/>
          <w:dstrike w:val="0"/>
          <w:color w:val="auto"/>
          <w:kern w:val="2"/>
          <w:sz w:val="32"/>
          <w:szCs w:val="32"/>
          <w:highlight w:val="none"/>
          <w:u w:val="none" w:color="auto"/>
          <w:shd w:val="clear" w:color="auto" w:fill="auto"/>
          <w:lang w:val="en-US" w:eastAsia="zh-CN" w:bidi="ar-SA"/>
        </w:rPr>
        <w:t>推动养老事业和养老产业协同发展，扩大老年人消费产品供给。丰富银发消费新业态，积极培育休闲娱乐、养生养老等健康产业，拓展老年文旅消费场景，推动老年大学和旅游企业联合定制老年游学项目。</w:t>
      </w:r>
      <w:r>
        <w:rPr>
          <w:rFonts w:hint="eastAsia" w:ascii="Times New Roman" w:hAnsi="Times New Roman" w:eastAsia="仿宋_GB2312" w:cs="Times New Roman"/>
          <w:strike w:val="0"/>
          <w:dstrike w:val="0"/>
          <w:color w:val="auto"/>
          <w:sz w:val="32"/>
          <w:szCs w:val="32"/>
          <w:highlight w:val="none"/>
          <w:u w:val="none" w:color="auto"/>
          <w:shd w:val="clear" w:color="auto" w:fill="auto"/>
          <w:lang w:val="en-US" w:eastAsia="zh-CN"/>
        </w:rPr>
        <w:t>鼓励发展医养融合型养老机构，</w:t>
      </w:r>
      <w:r>
        <w:rPr>
          <w:rFonts w:hint="eastAsia" w:ascii="仿宋_GB2312" w:hAnsi="仿宋_GB2312" w:eastAsia="仿宋_GB2312" w:cs="仿宋_GB2312"/>
          <w:b w:val="0"/>
          <w:strike w:val="0"/>
          <w:dstrike w:val="0"/>
          <w:color w:val="auto"/>
          <w:kern w:val="2"/>
          <w:sz w:val="32"/>
          <w:szCs w:val="32"/>
          <w:highlight w:val="none"/>
          <w:u w:val="none" w:color="auto"/>
          <w:shd w:val="clear" w:color="auto" w:fill="auto"/>
          <w:lang w:val="en-US" w:eastAsia="zh-CN" w:bidi="ar-SA"/>
        </w:rPr>
        <w:t>推动将健康管理、康复护理服务延伸至居家、养老机构，健全双向转接绿色通道，全面提升“家门口”老年健康服务功能，打响健康养生品牌。补齐老年人活动设施短板，支持公办养老机构和社区养老服务网点增设老年活动场所。到2030年，建立1所县级综合性老年人活动中心。</w:t>
      </w:r>
    </w:p>
    <w:p>
      <w:pPr>
        <w:pageBreakBefore w:val="0"/>
        <w:widowControl w:val="0"/>
        <w:kinsoku/>
        <w:wordWrap/>
        <w:overflowPunct/>
        <w:topLinePunct w:val="0"/>
        <w:autoSpaceDE/>
        <w:autoSpaceDN/>
        <w:bidi w:val="0"/>
        <w:spacing w:line="600" w:lineRule="exact"/>
        <w:ind w:firstLine="629" w:firstLineChars="196"/>
        <w:textAlignment w:val="auto"/>
        <w:rPr>
          <w:rStyle w:val="29"/>
          <w:rFonts w:hint="eastAsia"/>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kern w:val="2"/>
          <w:sz w:val="32"/>
          <w:szCs w:val="32"/>
          <w:highlight w:val="none"/>
          <w:u w:val="none" w:color="auto"/>
          <w:shd w:val="clear" w:color="auto" w:fill="auto"/>
          <w:lang w:val="en-US" w:eastAsia="zh-CN" w:bidi="ar-SA"/>
        </w:rPr>
        <w:t>推动建设生育友好型社会。</w:t>
      </w:r>
      <w:r>
        <w:rPr>
          <w:rFonts w:hint="eastAsia" w:ascii="仿宋_GB2312" w:hAnsi="仿宋_GB2312" w:eastAsia="仿宋_GB2312" w:cs="仿宋_GB2312"/>
          <w:b w:val="0"/>
          <w:strike w:val="0"/>
          <w:dstrike w:val="0"/>
          <w:color w:val="auto"/>
          <w:kern w:val="2"/>
          <w:sz w:val="32"/>
          <w:szCs w:val="32"/>
          <w:highlight w:val="none"/>
          <w:u w:val="none" w:color="auto"/>
          <w:shd w:val="clear" w:color="auto" w:fill="auto"/>
          <w:lang w:val="en-US" w:eastAsia="zh-CN" w:bidi="ar-SA"/>
        </w:rPr>
        <w:t>落实生育支持政策和激励机制，构建涵盖子女生育、养育、教育等多环节的补贴制度。推进婚姻登记机关规范化建设，提高便利化程度，持续深化婚俗改革，完善婚姻家庭辅导服务。实施早孕关爱行动、孕育和出生缺陷防治能力提升计划，提升生育全程各阶段出生缺陷防治服务能力。发展普惠托育和托幼一体化服务，支持用人单位办托、社区嵌入式托育、家庭托育点等多种模式发展，满足3岁以下婴幼儿托育多样化需求。加强妇女儿童健康管理，提高儿童疾病防治服务能力。</w:t>
      </w:r>
    </w:p>
    <w:p>
      <w:pPr>
        <w:pageBreakBefore w:val="0"/>
        <w:widowControl w:val="0"/>
        <w:kinsoku/>
        <w:wordWrap/>
        <w:overflowPunct/>
        <w:topLinePunct w:val="0"/>
        <w:autoSpaceDE/>
        <w:autoSpaceDN/>
        <w:bidi w:val="0"/>
        <w:spacing w:before="156" w:beforeLines="50" w:after="156" w:afterLines="50" w:line="600" w:lineRule="exact"/>
        <w:jc w:val="center"/>
        <w:textAlignment w:val="auto"/>
        <w:outlineLvl w:val="1"/>
        <w:rPr>
          <w:rFonts w:hint="eastAsia" w:ascii="黑体" w:hAnsi="黑体" w:eastAsia="黑体" w:cs="黑体"/>
          <w:b w:val="0"/>
          <w:bCs w:val="0"/>
          <w:strike w:val="0"/>
          <w:dstrike w:val="0"/>
          <w:color w:val="auto"/>
          <w:kern w:val="2"/>
          <w:sz w:val="32"/>
          <w:szCs w:val="32"/>
          <w:highlight w:val="none"/>
          <w:u w:val="none" w:color="auto"/>
          <w:shd w:val="clear" w:color="auto" w:fill="auto"/>
          <w:lang w:val="en-US" w:eastAsia="zh-CN" w:bidi="ar-SA"/>
        </w:rPr>
      </w:pPr>
      <w:bookmarkStart w:id="150" w:name="_Toc1300243532"/>
      <w:r>
        <w:rPr>
          <w:rStyle w:val="29"/>
          <w:rFonts w:hint="eastAsia"/>
          <w:strike w:val="0"/>
          <w:dstrike w:val="0"/>
          <w:color w:val="auto"/>
          <w:sz w:val="32"/>
          <w:szCs w:val="32"/>
          <w:highlight w:val="none"/>
          <w:u w:val="none" w:color="auto"/>
          <w:shd w:val="clear" w:color="auto" w:fill="auto"/>
          <w:lang w:val="en-US" w:eastAsia="zh-CN"/>
        </w:rPr>
        <w:t>第十二章 坚持人与自然和谐共生，加快推进生态庄河建设</w:t>
      </w:r>
      <w:bookmarkEnd w:id="150"/>
      <w:r>
        <w:rPr>
          <w:rFonts w:hint="eastAsia" w:ascii="黑体" w:hAnsi="黑体" w:eastAsia="黑体" w:cs="黑体"/>
          <w:b w:val="0"/>
          <w:bCs w:val="0"/>
          <w:strike w:val="0"/>
          <w:dstrike w:val="0"/>
          <w:color w:val="auto"/>
          <w:kern w:val="2"/>
          <w:sz w:val="32"/>
          <w:szCs w:val="32"/>
          <w:highlight w:val="none"/>
          <w:u w:val="none" w:color="auto"/>
          <w:shd w:val="clear" w:color="auto" w:fill="auto"/>
          <w:lang w:val="en-US" w:eastAsia="zh-CN" w:bidi="ar-SA"/>
        </w:rPr>
        <w:t xml:space="preserve"> </w:t>
      </w:r>
    </w:p>
    <w:p>
      <w:pPr>
        <w:pageBreakBefore w:val="0"/>
        <w:widowControl w:val="0"/>
        <w:kinsoku/>
        <w:wordWrap/>
        <w:overflowPunct/>
        <w:topLinePunct w:val="0"/>
        <w:autoSpaceDE/>
        <w:autoSpaceDN/>
        <w:bidi w:val="0"/>
        <w:spacing w:line="600" w:lineRule="exact"/>
        <w:ind w:firstLine="627" w:firstLineChars="196"/>
        <w:textAlignment w:val="auto"/>
        <w:rPr>
          <w:rFonts w:hint="eastAsia" w:ascii="仿宋_GB2312" w:hAnsi="仿宋_GB2312" w:eastAsia="仿宋_GB2312" w:cs="仿宋_GB2312"/>
          <w:b w:val="0"/>
          <w:strike w:val="0"/>
          <w:dstrike w:val="0"/>
          <w:color w:val="auto"/>
          <w:kern w:val="2"/>
          <w:sz w:val="32"/>
          <w:szCs w:val="32"/>
          <w:highlight w:val="none"/>
          <w:u w:val="none" w:color="auto"/>
          <w:shd w:val="clear" w:color="auto" w:fill="auto"/>
          <w:lang w:val="en-US" w:eastAsia="zh-CN" w:bidi="ar-SA"/>
        </w:rPr>
      </w:pPr>
      <w:r>
        <w:rPr>
          <w:rFonts w:hint="eastAsia" w:ascii="仿宋_GB2312" w:hAnsi="仿宋_GB2312" w:eastAsia="仿宋_GB2312" w:cs="仿宋_GB2312"/>
          <w:b w:val="0"/>
          <w:strike w:val="0"/>
          <w:dstrike w:val="0"/>
          <w:color w:val="auto"/>
          <w:kern w:val="2"/>
          <w:sz w:val="32"/>
          <w:szCs w:val="32"/>
          <w:highlight w:val="none"/>
          <w:u w:val="none" w:color="auto"/>
          <w:shd w:val="clear" w:color="auto" w:fill="auto"/>
          <w:lang w:val="en-US" w:eastAsia="zh-CN" w:bidi="ar-SA"/>
        </w:rPr>
        <w:t>以高水平保护推动高质量发展，牢固树立和践行绿水青山就是金山银山、冰天雪地也是金山银山理念，站在人与自然和谐共生的高度谋划发展。统筹陆海生态环境保护，协同推进降碳、减污、扩绿、增长，有效降低发展的资源环境代价，着力构建绿色低碳循环经济体系。</w:t>
      </w:r>
    </w:p>
    <w:p>
      <w:pPr>
        <w:pStyle w:val="4"/>
        <w:pageBreakBefore w:val="0"/>
        <w:widowControl w:val="0"/>
        <w:kinsoku/>
        <w:wordWrap/>
        <w:overflowPunct/>
        <w:topLinePunct w:val="0"/>
        <w:autoSpaceDE/>
        <w:autoSpaceDN/>
        <w:bidi w:val="0"/>
        <w:spacing w:line="600" w:lineRule="exact"/>
        <w:textAlignment w:val="auto"/>
        <w:rPr>
          <w:rFonts w:hint="default" w:ascii="楷体_GB2312" w:hAnsi="楷体_GB2312" w:eastAsia="楷体_GB2312" w:cs="楷体_GB2312"/>
          <w:b/>
          <w:bCs/>
          <w:strike w:val="0"/>
          <w:dstrike w:val="0"/>
          <w:color w:val="auto"/>
          <w:kern w:val="2"/>
          <w:sz w:val="32"/>
          <w:szCs w:val="32"/>
          <w:highlight w:val="none"/>
          <w:u w:val="none" w:color="auto"/>
          <w:shd w:val="clear" w:color="auto" w:fill="auto"/>
          <w:lang w:val="en-US" w:eastAsia="zh-CN" w:bidi="ar-SA"/>
        </w:rPr>
      </w:pPr>
      <w:bookmarkStart w:id="151" w:name="_Toc2085397902"/>
      <w:r>
        <w:rPr>
          <w:rFonts w:hint="eastAsia"/>
          <w:strike w:val="0"/>
          <w:dstrike w:val="0"/>
          <w:color w:val="auto"/>
          <w:sz w:val="32"/>
          <w:szCs w:val="32"/>
          <w:highlight w:val="none"/>
          <w:u w:val="none" w:color="auto"/>
          <w:shd w:val="clear" w:color="auto" w:fill="auto"/>
          <w:lang w:val="en-US" w:eastAsia="zh-CN"/>
        </w:rPr>
        <w:t>第一节 持续改善生态环境品质</w:t>
      </w:r>
      <w:bookmarkEnd w:id="151"/>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深入推进大气环境治理。</w:t>
      </w:r>
      <w:r>
        <w:rPr>
          <w:rFonts w:hint="eastAsia" w:ascii="仿宋_GB2312" w:hAnsi="仿宋_GB2312" w:eastAsia="仿宋_GB2312" w:cs="仿宋_GB2312"/>
          <w:bCs/>
          <w:i w:val="0"/>
          <w:iCs w:val="0"/>
          <w:caps w:val="0"/>
          <w:strike w:val="0"/>
          <w:dstrike w:val="0"/>
          <w:color w:val="auto"/>
          <w:spacing w:val="0"/>
          <w:kern w:val="0"/>
          <w:sz w:val="32"/>
          <w:szCs w:val="32"/>
          <w:highlight w:val="none"/>
          <w:u w:val="none" w:color="auto"/>
          <w:lang w:val="en-US" w:eastAsia="zh-CN" w:bidi="ar"/>
        </w:rPr>
        <w:t>开展大气污染防治重点行业绩效提级行动，</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完成燃煤锅炉超低排放改造，持续推进锅炉、工业炉窑清洁能源替代，</w:t>
      </w:r>
      <w:r>
        <w:rPr>
          <w:rFonts w:hint="eastAsia" w:ascii="仿宋_GB2312" w:hAnsi="仿宋_GB2312" w:eastAsia="仿宋_GB2312" w:cs="仿宋_GB2312"/>
          <w:bCs/>
          <w:i w:val="0"/>
          <w:iCs w:val="0"/>
          <w:caps w:val="0"/>
          <w:strike w:val="0"/>
          <w:dstrike w:val="0"/>
          <w:color w:val="auto"/>
          <w:spacing w:val="0"/>
          <w:kern w:val="0"/>
          <w:sz w:val="32"/>
          <w:szCs w:val="32"/>
          <w:highlight w:val="none"/>
          <w:u w:val="none" w:color="auto"/>
          <w:lang w:val="en-US" w:eastAsia="zh-CN" w:bidi="ar"/>
        </w:rPr>
        <w:t>到2030年，</w:t>
      </w:r>
      <w:r>
        <w:rPr>
          <w:rFonts w:hint="eastAsia" w:ascii="仿宋_GB2312" w:eastAsia="仿宋_GB2312" w:hAnsiTheme="minorHAnsi" w:cstheme="minorBidi"/>
          <w:strike w:val="0"/>
          <w:dstrike w:val="0"/>
          <w:color w:val="auto"/>
          <w:kern w:val="2"/>
          <w:sz w:val="32"/>
          <w:szCs w:val="32"/>
          <w:highlight w:val="none"/>
          <w:u w:val="none" w:color="auto"/>
          <w:shd w:val="clear" w:color="auto" w:fill="auto"/>
          <w:lang w:val="en-US" w:eastAsia="zh-CN" w:bidi="ar-SA"/>
        </w:rPr>
        <w:t>B</w:t>
      </w:r>
      <w:r>
        <w:rPr>
          <w:rFonts w:hint="eastAsia" w:ascii="仿宋_GB2312" w:hAnsi="仿宋_GB2312" w:eastAsia="仿宋_GB2312" w:cs="仿宋_GB2312"/>
          <w:bCs/>
          <w:i w:val="0"/>
          <w:iCs w:val="0"/>
          <w:caps w:val="0"/>
          <w:strike w:val="0"/>
          <w:dstrike w:val="0"/>
          <w:color w:val="auto"/>
          <w:spacing w:val="0"/>
          <w:kern w:val="0"/>
          <w:sz w:val="32"/>
          <w:szCs w:val="32"/>
          <w:highlight w:val="none"/>
          <w:u w:val="none" w:color="auto"/>
          <w:lang w:val="en-US" w:eastAsia="zh-CN" w:bidi="ar"/>
        </w:rPr>
        <w:t>级以上企业达到</w:t>
      </w:r>
      <w:r>
        <w:rPr>
          <w:rFonts w:hint="eastAsia" w:ascii="仿宋_GB2312" w:eastAsia="仿宋_GB2312" w:cstheme="minorBidi"/>
          <w:strike w:val="0"/>
          <w:dstrike w:val="0"/>
          <w:color w:val="auto"/>
          <w:kern w:val="2"/>
          <w:sz w:val="32"/>
          <w:szCs w:val="32"/>
          <w:highlight w:val="none"/>
          <w:u w:val="none" w:color="auto"/>
          <w:shd w:val="clear" w:color="auto" w:fill="auto"/>
          <w:lang w:val="en-US" w:eastAsia="zh-CN" w:bidi="ar-SA"/>
        </w:rPr>
        <w:t>1</w:t>
      </w:r>
      <w:r>
        <w:rPr>
          <w:rFonts w:hint="eastAsia" w:ascii="仿宋_GB2312" w:hAnsi="仿宋_GB2312" w:eastAsia="仿宋_GB2312" w:cs="仿宋_GB2312"/>
          <w:bCs/>
          <w:i w:val="0"/>
          <w:iCs w:val="0"/>
          <w:caps w:val="0"/>
          <w:strike w:val="0"/>
          <w:dstrike w:val="0"/>
          <w:color w:val="auto"/>
          <w:spacing w:val="0"/>
          <w:kern w:val="0"/>
          <w:sz w:val="32"/>
          <w:szCs w:val="32"/>
          <w:highlight w:val="none"/>
          <w:u w:val="none" w:color="auto"/>
          <w:lang w:val="en-US" w:eastAsia="zh-CN" w:bidi="ar"/>
        </w:rPr>
        <w:t>家。推进散煤治理，加快清洁能源替代。</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持续降低细颗粒物浓度，全力推动空气质量提质升级，大力推进氮氧化物、挥发性有机物等污染物协同减排。强化城市扬尘精细化管控，建立裸露地面排查、动态清零机制，深入开展餐饮油烟及恶臭异味扰民问题排查整治。推动庄河电厂封闭煤场改造。</w:t>
      </w:r>
      <w:r>
        <w:rPr>
          <w:rFonts w:hint="eastAsia" w:ascii="仿宋_GB2312" w:hAnsi="仿宋_GB2312" w:eastAsia="仿宋_GB2312" w:cs="仿宋_GB2312"/>
          <w:bCs/>
          <w:i w:val="0"/>
          <w:iCs w:val="0"/>
          <w:caps w:val="0"/>
          <w:strike w:val="0"/>
          <w:dstrike w:val="0"/>
          <w:color w:val="auto"/>
          <w:spacing w:val="0"/>
          <w:kern w:val="0"/>
          <w:sz w:val="32"/>
          <w:szCs w:val="32"/>
          <w:highlight w:val="none"/>
          <w:u w:val="none" w:color="auto"/>
          <w:lang w:val="en-US" w:eastAsia="zh-CN" w:bidi="ar"/>
        </w:rPr>
        <w:t>空</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气优良天数比例完成大连市下达的污染防治攻坚战考核指标，</w:t>
      </w:r>
      <w:r>
        <w:rPr>
          <w:rFonts w:hint="eastAsia" w:ascii="仿宋_GB2312" w:eastAsia="仿宋_GB2312"/>
          <w:strike w:val="0"/>
          <w:dstrike w:val="0"/>
          <w:color w:val="auto"/>
          <w:sz w:val="32"/>
          <w:szCs w:val="32"/>
          <w:highlight w:val="none"/>
          <w:u w:val="none" w:color="auto"/>
          <w:shd w:val="clear" w:color="auto" w:fill="auto"/>
          <w:lang w:val="en-US" w:eastAsia="zh-CN"/>
        </w:rPr>
        <w:t>PM</w:t>
      </w:r>
      <w:r>
        <w:rPr>
          <w:rFonts w:hint="default" w:ascii="sans-serif" w:hAnsi="sans-serif" w:eastAsia="sans-serif" w:cs="sans-serif"/>
          <w:i w:val="0"/>
          <w:iCs w:val="0"/>
          <w:caps w:val="0"/>
          <w:strike w:val="0"/>
          <w:dstrike w:val="0"/>
          <w:color w:val="auto"/>
          <w:spacing w:val="0"/>
          <w:kern w:val="0"/>
          <w:sz w:val="32"/>
          <w:szCs w:val="32"/>
          <w:highlight w:val="none"/>
          <w:u w:val="none" w:color="auto"/>
          <w:shd w:val="clear" w:fill="FFFFFF"/>
          <w:vertAlign w:val="subscript"/>
          <w:lang w:val="en-US" w:eastAsia="zh-CN" w:bidi="ar"/>
        </w:rPr>
        <w:t>2.5</w:t>
      </w:r>
      <w:r>
        <w:rPr>
          <w:rFonts w:hint="eastAsia" w:ascii="仿宋_GB2312" w:hAnsi="仿宋_GB2312" w:eastAsia="仿宋_GB2312" w:cs="仿宋_GB2312"/>
          <w:bCs/>
          <w:i w:val="0"/>
          <w:iCs w:val="0"/>
          <w:caps w:val="0"/>
          <w:strike w:val="0"/>
          <w:dstrike w:val="0"/>
          <w:color w:val="auto"/>
          <w:spacing w:val="0"/>
          <w:kern w:val="0"/>
          <w:sz w:val="32"/>
          <w:szCs w:val="32"/>
          <w:highlight w:val="none"/>
          <w:u w:val="none" w:color="auto"/>
          <w:lang w:val="en-US" w:eastAsia="zh-CN" w:bidi="ar"/>
        </w:rPr>
        <w:t>达到25微克/立方米以下。</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持续提升水环境质量。</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深入实施河流污染精细化管控，持续加强饮用水水源地规范化建设和环境监测，加大饮用水安全状况信息公开力度。落实“一河一策”，强化重点河流总氮排放控制，加强畜禽养殖污染防治，推进东部乡镇畜禽粪污处置中心建设。落实畜禽养殖禁养区各项管理规定，严格禁养区执法监管，严厉打击非法倾倒或渗坑排放畜禽养殖粪污污水等违法行为。力争4处国考断面和10处省控入海河流断面达标率100%。谋划庄河生态保护修复工程，协同推动流域内朱隈水库和转角楼水库清淤疏浚、水库库湾生态修复，削减水库底泥污染释放。</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扎实开展土壤环境防控。</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强化土壤污染源头防控与分类管理，加强未污染土壤保护，依法加强建设用地用途变更和污染地块风险管控的联动监管，扎实推进受污染场地安全利用。严控危险废物填埋处置，确保填埋处置量占比稳中有降。探索新污染物协同治理，严格落实新化学物质环境管理</w:t>
      </w:r>
      <w:r>
        <w:rPr>
          <w:rFonts w:hint="eastAsia" w:ascii="仿宋_GB2312" w:hAnsi="仿宋_GB2312" w:eastAsia="仿宋_GB2312" w:cs="仿宋_GB2312"/>
          <w:strike w:val="0"/>
          <w:dstrike w:val="0"/>
          <w:color w:val="auto"/>
          <w:sz w:val="32"/>
          <w:szCs w:val="32"/>
          <w:highlight w:val="none"/>
          <w:u w:val="none" w:color="auto"/>
          <w:lang w:val="en-US" w:eastAsia="zh-CN"/>
        </w:rPr>
        <w:t>登记制度，落实重点管控新污染物管控措施。高标准推进“无废城市”建设，推动“无废理念”深入人心。</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lang w:val="en-US" w:eastAsia="zh-CN"/>
        </w:rPr>
        <w:t>持续实施噪声污染防治行动。</w:t>
      </w:r>
      <w:r>
        <w:rPr>
          <w:rFonts w:hint="eastAsia" w:ascii="仿宋_GB2312" w:hAnsi="仿宋_GB2312" w:eastAsia="仿宋_GB2312" w:cs="仿宋_GB2312"/>
          <w:strike w:val="0"/>
          <w:dstrike w:val="0"/>
          <w:color w:val="auto"/>
          <w:sz w:val="32"/>
          <w:szCs w:val="32"/>
          <w:highlight w:val="none"/>
          <w:u w:val="none" w:color="auto"/>
          <w:lang w:val="en-US" w:eastAsia="zh-CN"/>
        </w:rPr>
        <w:t>加强工业噪声、建筑施工噪声、交通噪声、社会生活噪声等污染治理。不断完善噪声污染防治管理体系，完成新一</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轮声环境功能区划和监测点位调整。通过绘制“噪声地图”等信息化措施，加强噪声污染防治精准化管控。持续深化宁静小区建设，提升公众参与的广度和深度。</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健全生态环境治理体系。</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健全覆盖全市的生态环境分区管控方案，完善生态环境分区管控与国土空间规划“一张图”协同管控机制，实施分区域、差异化、精准管控。全面推动排污许可制度，落实以排污许可制为核心的固定污染源监管制度。深化环境信息依法披露制度改革，构建环境信用监管体系。严密防控环境风险，严厉打击污染环境违法行为。</w:t>
      </w:r>
    </w:p>
    <w:p>
      <w:pPr>
        <w:pStyle w:val="4"/>
        <w:pageBreakBefore w:val="0"/>
        <w:widowControl w:val="0"/>
        <w:kinsoku/>
        <w:wordWrap/>
        <w:overflowPunct/>
        <w:topLinePunct w:val="0"/>
        <w:autoSpaceDE/>
        <w:autoSpaceDN/>
        <w:bidi w:val="0"/>
        <w:spacing w:line="600" w:lineRule="exact"/>
        <w:textAlignment w:val="auto"/>
        <w:rPr>
          <w:rFonts w:hint="eastAsia"/>
          <w:strike w:val="0"/>
          <w:dstrike w:val="0"/>
          <w:color w:val="auto"/>
          <w:sz w:val="32"/>
          <w:szCs w:val="32"/>
          <w:highlight w:val="none"/>
          <w:u w:val="none" w:color="auto"/>
          <w:shd w:val="clear" w:color="auto" w:fill="auto"/>
          <w:lang w:val="en-US" w:eastAsia="zh-CN"/>
        </w:rPr>
      </w:pPr>
      <w:bookmarkStart w:id="152" w:name="_Toc382644033"/>
      <w:r>
        <w:rPr>
          <w:rFonts w:hint="eastAsia"/>
          <w:strike w:val="0"/>
          <w:dstrike w:val="0"/>
          <w:color w:val="auto"/>
          <w:sz w:val="32"/>
          <w:szCs w:val="32"/>
          <w:highlight w:val="none"/>
          <w:u w:val="none" w:color="auto"/>
          <w:shd w:val="clear" w:color="auto" w:fill="auto"/>
          <w:lang w:val="en-US" w:eastAsia="zh-CN"/>
        </w:rPr>
        <w:t>第二节 巩固生态保护修复成果</w:t>
      </w:r>
      <w:bookmarkEnd w:id="152"/>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trike w:val="0"/>
          <w:dstrike w:val="0"/>
          <w:color w:val="auto"/>
          <w:sz w:val="32"/>
          <w:szCs w:val="32"/>
          <w:highlight w:val="none"/>
          <w:u w:val="none" w:color="auto"/>
          <w:lang w:val="en-US" w:eastAsia="zh-CN"/>
        </w:rPr>
      </w:pPr>
      <w:r>
        <w:rPr>
          <w:rFonts w:hint="eastAsia" w:ascii="仿宋_GB2312" w:hAnsi="仿宋_GB2312" w:eastAsia="仿宋_GB2312" w:cs="仿宋_GB2312"/>
          <w:strike w:val="0"/>
          <w:dstrike w:val="0"/>
          <w:color w:val="auto"/>
          <w:sz w:val="32"/>
          <w:szCs w:val="32"/>
          <w:highlight w:val="none"/>
          <w:u w:val="none" w:color="auto"/>
          <w:lang w:val="en-US" w:eastAsia="zh-CN"/>
        </w:rPr>
        <w:t>以生态功能区、生态保护红线、自然保护地等为重点，加快推进重要生态系统保护和修复，巩固和强化绿色生态基础，筑牢生态安全屏障。</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构建陆海一体生态网络。</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落实生态保护红线管理制度，统筹山水林田湖草保护和修复。构建相对稳定的生物多样性空间保护格局。畅通生物多样性保护廊道以及候鸟迁徙通道，重点推进碧流河、英那河等河流生态廊道建设。开展外来物种监控、预警和防控管理。强化生态监测预警，提升区域整体生态系统服务功能。</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加强自然保护地和林地、湿地、水系保护。</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强化流域综合治理和系统修复，加大水土流失综合治理力度，提升水源涵养能力。实施生态复绿、生态公园、景观恢复工程。推动河流、湖泊、湿地和山地等重要生态系统保护与修复，推进重点河湖水生植被恢复，稳步扩大湿地保有量。</w:t>
      </w:r>
      <w:r>
        <w:rPr>
          <w:rFonts w:hint="eastAsia" w:ascii="仿宋_GB2312" w:hAnsi="黑体" w:eastAsia="仿宋_GB2312" w:cs="黑体"/>
          <w:strike w:val="0"/>
          <w:dstrike w:val="0"/>
          <w:color w:val="auto"/>
          <w:sz w:val="32"/>
          <w:szCs w:val="32"/>
          <w:highlight w:val="none"/>
          <w:u w:val="none" w:color="auto"/>
        </w:rPr>
        <w:t>推动绿色矿山建设提档升级</w:t>
      </w:r>
      <w:r>
        <w:rPr>
          <w:rFonts w:hint="eastAsia" w:ascii="仿宋_GB2312" w:hAnsi="黑体" w:eastAsia="仿宋_GB2312" w:cs="黑体"/>
          <w:strike w:val="0"/>
          <w:dstrike w:val="0"/>
          <w:color w:val="auto"/>
          <w:sz w:val="32"/>
          <w:szCs w:val="32"/>
          <w:highlight w:val="none"/>
          <w:u w:val="none" w:color="auto"/>
          <w:lang w:eastAsia="zh-CN"/>
        </w:rPr>
        <w:t>。</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推进以国家公园、国家地质公园为主体的自然保护地体系建设。</w:t>
      </w:r>
    </w:p>
    <w:p>
      <w:pPr>
        <w:pStyle w:val="4"/>
        <w:pageBreakBefore w:val="0"/>
        <w:widowControl w:val="0"/>
        <w:kinsoku/>
        <w:wordWrap/>
        <w:overflowPunct/>
        <w:topLinePunct w:val="0"/>
        <w:autoSpaceDE/>
        <w:autoSpaceDN/>
        <w:bidi w:val="0"/>
        <w:spacing w:line="600" w:lineRule="exact"/>
        <w:textAlignment w:val="auto"/>
        <w:rPr>
          <w:rFonts w:hint="eastAsia"/>
          <w:strike w:val="0"/>
          <w:dstrike w:val="0"/>
          <w:color w:val="auto"/>
          <w:sz w:val="32"/>
          <w:szCs w:val="32"/>
          <w:highlight w:val="none"/>
          <w:u w:val="none" w:color="auto"/>
          <w:shd w:val="clear" w:color="auto" w:fill="auto"/>
          <w:lang w:val="en-US" w:eastAsia="zh-CN"/>
        </w:rPr>
      </w:pPr>
      <w:bookmarkStart w:id="153" w:name="_Toc1562094826"/>
      <w:r>
        <w:rPr>
          <w:rFonts w:hint="eastAsia"/>
          <w:strike w:val="0"/>
          <w:dstrike w:val="0"/>
          <w:color w:val="auto"/>
          <w:sz w:val="32"/>
          <w:szCs w:val="32"/>
          <w:highlight w:val="none"/>
          <w:u w:val="none" w:color="auto"/>
          <w:shd w:val="clear" w:color="auto" w:fill="auto"/>
          <w:lang w:val="en-US" w:eastAsia="zh-CN"/>
        </w:rPr>
        <w:t>第三节 加快生产生活方式绿色转型</w:t>
      </w:r>
      <w:bookmarkEnd w:id="153"/>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default"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着力推动绿色生产方式。</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聚焦装备制造等重点行业，鼓励企业技术改造，推动化工、建材等产业绿色低碳转型。严把</w:t>
      </w:r>
      <w:r>
        <w:rPr>
          <w:rFonts w:hint="default" w:ascii="仿宋_GB2312" w:hAnsi="仿宋_GB2312" w:eastAsia="仿宋_GB2312" w:cs="仿宋_GB2312"/>
          <w:strike w:val="0"/>
          <w:dstrike w:val="0"/>
          <w:color w:val="auto"/>
          <w:sz w:val="32"/>
          <w:szCs w:val="32"/>
          <w:highlight w:val="none"/>
          <w:u w:val="none" w:color="auto"/>
          <w:shd w:val="clear" w:color="auto" w:fill="auto"/>
          <w:lang w:val="en-US" w:eastAsia="zh-CN"/>
        </w:rPr>
        <w:t>新建、改扩建项目资源环境准入门槛，坚决遏制高耗能、高排放、低水平项目盲目上马。</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积极推动合同节水工作。</w:t>
      </w:r>
      <w:r>
        <w:rPr>
          <w:rFonts w:hint="default" w:ascii="仿宋_GB2312" w:hAnsi="仿宋_GB2312" w:eastAsia="仿宋_GB2312" w:cs="仿宋_GB2312"/>
          <w:strike w:val="0"/>
          <w:dstrike w:val="0"/>
          <w:color w:val="auto"/>
          <w:sz w:val="32"/>
          <w:szCs w:val="32"/>
          <w:highlight w:val="none"/>
          <w:u w:val="none" w:color="auto"/>
          <w:shd w:val="clear" w:color="auto" w:fill="auto"/>
          <w:lang w:val="en-US" w:eastAsia="zh-CN"/>
        </w:rPr>
        <w:t>引导企业开展数字化、智能化、绿色化改造</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w:t>
      </w:r>
      <w:r>
        <w:rPr>
          <w:rFonts w:hint="default" w:ascii="仿宋_GB2312" w:hAnsi="仿宋_GB2312" w:eastAsia="仿宋_GB2312" w:cs="仿宋_GB2312"/>
          <w:strike w:val="0"/>
          <w:dstrike w:val="0"/>
          <w:color w:val="auto"/>
          <w:sz w:val="32"/>
          <w:szCs w:val="32"/>
          <w:highlight w:val="none"/>
          <w:u w:val="none" w:color="auto"/>
          <w:shd w:val="clear" w:color="auto" w:fill="auto"/>
          <w:lang w:val="en-US" w:eastAsia="zh-CN"/>
        </w:rPr>
        <w:t>鼓励企业创建省级数字化车间</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培育绿色低碳企业、绿色工厂。加强化石能源清洁高效利用，推动非化石能源安全可靠有序替代化石能源，加快推进城市禁燃区划定和管理，减少化石能源燃料使用。引导企业开展清洁能源替代，谋划发展碳达峰碳中和相关产业。</w:t>
      </w:r>
      <w:r>
        <w:rPr>
          <w:rFonts w:hint="default" w:ascii="仿宋_GB2312" w:hAnsi="仿宋_GB2312" w:eastAsia="仿宋_GB2312" w:cs="仿宋_GB2312"/>
          <w:strike w:val="0"/>
          <w:dstrike w:val="0"/>
          <w:color w:val="auto"/>
          <w:sz w:val="32"/>
          <w:szCs w:val="32"/>
          <w:highlight w:val="none"/>
          <w:u w:val="none" w:color="auto"/>
          <w:shd w:val="clear" w:color="auto" w:fill="auto"/>
          <w:lang w:val="en-US" w:eastAsia="zh-CN"/>
        </w:rPr>
        <w:t>加快推动充换电基础设施</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建设</w:t>
      </w:r>
      <w:r>
        <w:rPr>
          <w:rFonts w:hint="default" w:ascii="仿宋_GB2312" w:hAnsi="仿宋_GB2312" w:eastAsia="仿宋_GB2312" w:cs="仿宋_GB2312"/>
          <w:strike w:val="0"/>
          <w:dstrike w:val="0"/>
          <w:color w:val="auto"/>
          <w:sz w:val="32"/>
          <w:szCs w:val="32"/>
          <w:highlight w:val="none"/>
          <w:u w:val="none" w:color="auto"/>
          <w:shd w:val="clear" w:color="auto" w:fill="auto"/>
          <w:lang w:val="en-US" w:eastAsia="zh-CN"/>
        </w:rPr>
        <w:t>，在交通沿线和港口、综合客运枢纽规划建设充电设施</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，充电桩数量达到5500个。推动城市公共交通、出租汽车等营运车辆向电动化、新能源化和清洁化发展，鼓励淘汰高耗低效营运车辆、船舶。推动</w:t>
      </w:r>
      <w:r>
        <w:rPr>
          <w:rFonts w:hint="default" w:ascii="仿宋_GB2312" w:hAnsi="仿宋_GB2312" w:eastAsia="仿宋_GB2312" w:cs="仿宋_GB2312"/>
          <w:strike w:val="0"/>
          <w:dstrike w:val="0"/>
          <w:color w:val="auto"/>
          <w:sz w:val="32"/>
          <w:szCs w:val="32"/>
          <w:highlight w:val="none"/>
          <w:u w:val="none" w:color="auto"/>
          <w:shd w:val="clear" w:color="auto" w:fill="auto"/>
          <w:lang w:val="en-US" w:eastAsia="zh-CN"/>
        </w:rPr>
        <w:t>既有</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居住</w:t>
      </w:r>
      <w:r>
        <w:rPr>
          <w:rFonts w:hint="default" w:ascii="仿宋_GB2312" w:hAnsi="仿宋_GB2312" w:eastAsia="仿宋_GB2312" w:cs="仿宋_GB2312"/>
          <w:strike w:val="0"/>
          <w:dstrike w:val="0"/>
          <w:color w:val="auto"/>
          <w:sz w:val="32"/>
          <w:szCs w:val="32"/>
          <w:highlight w:val="none"/>
          <w:u w:val="none" w:color="auto"/>
          <w:shd w:val="clear" w:color="auto" w:fill="auto"/>
          <w:lang w:val="en-US" w:eastAsia="zh-CN"/>
        </w:rPr>
        <w:t>建筑和市政基础设施节能节水降碳改造，推动集中办公区加装光伏发电系统可行性研究。积极参与全国碳排放</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权</w:t>
      </w:r>
      <w:r>
        <w:rPr>
          <w:rFonts w:hint="default" w:ascii="仿宋_GB2312" w:hAnsi="仿宋_GB2312" w:eastAsia="仿宋_GB2312" w:cs="仿宋_GB2312"/>
          <w:strike w:val="0"/>
          <w:dstrike w:val="0"/>
          <w:color w:val="auto"/>
          <w:sz w:val="32"/>
          <w:szCs w:val="32"/>
          <w:highlight w:val="none"/>
          <w:u w:val="none" w:color="auto"/>
          <w:shd w:val="clear" w:color="auto" w:fill="auto"/>
          <w:lang w:val="en-US" w:eastAsia="zh-CN"/>
        </w:rPr>
        <w:t>交易市场建设，创新市场化节能减排方式，建设零碳城市、零碳园区、零碳工厂。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大力倡导低碳生活方式。</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将绿色理念和节约要求融入市民公约等社会规范，增强全民节约意识、环保意识、生态意识。开展绿色低碳全民行动，引导公众节约用水用电、反对铺张浪费、推广“光盘行动”、抵制过度包装、减少一次性用品使用，引导公众优先选择公共交通、步行、自行车等绿色出行方式。</w:t>
      </w:r>
      <w:r>
        <w:rPr>
          <w:rFonts w:hint="default" w:ascii="仿宋_GB2312" w:hAnsi="仿宋_GB2312" w:eastAsia="仿宋_GB2312" w:cs="仿宋_GB2312"/>
          <w:strike w:val="0"/>
          <w:dstrike w:val="0"/>
          <w:color w:val="auto"/>
          <w:sz w:val="32"/>
          <w:szCs w:val="32"/>
          <w:highlight w:val="none"/>
          <w:u w:val="none" w:color="auto"/>
          <w:shd w:val="clear" w:color="auto" w:fill="auto"/>
          <w:lang w:val="en-US" w:eastAsia="zh-CN"/>
        </w:rPr>
        <w:t>加大节约型机关和绿色学校、绿色社区、绿色商场创建力度，树立绿色典范。</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广泛开展爱国卫生运动。</w:t>
      </w:r>
    </w:p>
    <w:p>
      <w:pPr>
        <w:pStyle w:val="4"/>
        <w:pageBreakBefore w:val="0"/>
        <w:widowControl w:val="0"/>
        <w:kinsoku/>
        <w:wordWrap/>
        <w:overflowPunct/>
        <w:topLinePunct w:val="0"/>
        <w:autoSpaceDE/>
        <w:autoSpaceDN/>
        <w:bidi w:val="0"/>
        <w:spacing w:line="600" w:lineRule="exact"/>
        <w:textAlignment w:val="auto"/>
        <w:rPr>
          <w:rFonts w:hint="eastAsia"/>
          <w:strike w:val="0"/>
          <w:dstrike w:val="0"/>
          <w:color w:val="auto"/>
          <w:sz w:val="32"/>
          <w:szCs w:val="32"/>
          <w:highlight w:val="none"/>
          <w:u w:val="none" w:color="auto"/>
          <w:shd w:val="clear" w:color="auto" w:fill="auto"/>
          <w:lang w:val="en-US" w:eastAsia="zh-CN"/>
        </w:rPr>
      </w:pPr>
      <w:bookmarkStart w:id="154" w:name="_Toc754951825"/>
      <w:r>
        <w:rPr>
          <w:rFonts w:hint="eastAsia"/>
          <w:strike w:val="0"/>
          <w:dstrike w:val="0"/>
          <w:color w:val="auto"/>
          <w:sz w:val="32"/>
          <w:szCs w:val="32"/>
          <w:highlight w:val="none"/>
          <w:u w:val="none" w:color="auto"/>
          <w:shd w:val="clear" w:color="auto" w:fill="auto"/>
          <w:lang w:val="en-US" w:eastAsia="zh-CN"/>
        </w:rPr>
        <w:t>第四节 全面提高资源利用效率</w:t>
      </w:r>
      <w:bookmarkEnd w:id="154"/>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宋体" w:hAnsi="宋体" w:eastAsia="方正小标宋简体" w:cstheme="minorBidi"/>
          <w:strike w:val="0"/>
          <w:dstrike w:val="0"/>
          <w:color w:val="auto"/>
          <w:kern w:val="0"/>
          <w:sz w:val="32"/>
          <w:szCs w:val="32"/>
          <w:highlight w:val="none"/>
          <w:u w:val="none" w:color="auto"/>
          <w:shd w:val="clear" w:color="auto" w:fill="auto"/>
          <w:lang w:val="en-US" w:eastAsia="zh-CN" w:bidi="ar-SA"/>
        </w:rPr>
      </w:pPr>
      <w:r>
        <w:rPr>
          <w:rFonts w:hint="default" w:ascii="仿宋_GB2312" w:hAnsi="仿宋_GB2312" w:eastAsia="仿宋_GB2312" w:cs="仿宋_GB2312"/>
          <w:b/>
          <w:bCs/>
          <w:strike w:val="0"/>
          <w:dstrike w:val="0"/>
          <w:color w:val="auto"/>
          <w:sz w:val="32"/>
          <w:szCs w:val="32"/>
          <w:highlight w:val="none"/>
          <w:u w:val="none" w:color="auto"/>
          <w:shd w:val="clear" w:color="auto" w:fill="auto"/>
          <w:lang w:val="en-US" w:eastAsia="zh-CN"/>
        </w:rPr>
        <w:t>推进资源节约集约利用。</w:t>
      </w:r>
      <w:r>
        <w:rPr>
          <w:rFonts w:hint="default" w:ascii="仿宋_GB2312" w:hAnsi="仿宋_GB2312" w:eastAsia="仿宋_GB2312" w:cs="仿宋_GB2312"/>
          <w:strike w:val="0"/>
          <w:dstrike w:val="0"/>
          <w:color w:val="auto"/>
          <w:sz w:val="32"/>
          <w:szCs w:val="32"/>
          <w:highlight w:val="none"/>
          <w:u w:val="none" w:color="auto"/>
          <w:shd w:val="clear" w:color="auto" w:fill="auto"/>
          <w:lang w:val="en-US" w:eastAsia="zh-CN"/>
        </w:rPr>
        <w:t>持续推进能源革命，构建清洁低碳、安全高效的能源体系。建立用水总量控制和定额管理制度，提高水资源配置效率。</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健全节约集约利用土地制度和激励约束机制，积极盘活存量建设用地。</w:t>
      </w:r>
      <w:r>
        <w:rPr>
          <w:rFonts w:hint="default" w:ascii="仿宋_GB2312" w:hAnsi="仿宋_GB2312" w:eastAsia="仿宋_GB2312" w:cs="仿宋_GB2312"/>
          <w:strike w:val="0"/>
          <w:dstrike w:val="0"/>
          <w:color w:val="auto"/>
          <w:sz w:val="32"/>
          <w:szCs w:val="32"/>
          <w:highlight w:val="none"/>
          <w:u w:val="none" w:color="auto"/>
          <w:shd w:val="clear" w:color="auto" w:fill="auto"/>
          <w:lang w:val="en-US" w:eastAsia="zh-CN"/>
        </w:rPr>
        <w:t>实施建设用地总量控制和减量化管理，全面推进城镇低效用地再开发、村宅置换调整、存量用地更新。深化实施“标准地”出让改革，鼓励“先租后让”、“长期租赁”、“弹性年期出让”等灵活供地方式。稳步推进“两块地”处置工作，力争</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“十五五”期间，</w:t>
      </w:r>
      <w:r>
        <w:rPr>
          <w:rFonts w:hint="default" w:ascii="仿宋_GB2312" w:hAnsi="仿宋_GB2312" w:eastAsia="仿宋_GB2312" w:cs="仿宋_GB2312"/>
          <w:strike w:val="0"/>
          <w:dstrike w:val="0"/>
          <w:color w:val="auto"/>
          <w:sz w:val="32"/>
          <w:szCs w:val="32"/>
          <w:highlight w:val="none"/>
          <w:u w:val="none" w:color="auto"/>
          <w:shd w:val="clear" w:color="auto" w:fill="auto"/>
          <w:lang w:val="en-US" w:eastAsia="zh-CN"/>
        </w:rPr>
        <w:t>批而未供土地净减少30%、闲置土地净减少25%。</w:t>
      </w:r>
      <w:bookmarkEnd w:id="79"/>
      <w:bookmarkEnd w:id="80"/>
      <w:bookmarkEnd w:id="81"/>
      <w:bookmarkEnd w:id="82"/>
      <w:bookmarkEnd w:id="83"/>
      <w:bookmarkEnd w:id="84"/>
      <w:bookmarkEnd w:id="85"/>
      <w:bookmarkEnd w:id="86"/>
      <w:bookmarkEnd w:id="87"/>
      <w:bookmarkEnd w:id="88"/>
      <w:bookmarkEnd w:id="89"/>
      <w:bookmarkEnd w:id="90"/>
      <w:bookmarkEnd w:id="91"/>
    </w:p>
    <w:p>
      <w:pPr>
        <w:pStyle w:val="3"/>
        <w:pageBreakBefore w:val="0"/>
        <w:widowControl w:val="0"/>
        <w:kinsoku/>
        <w:wordWrap/>
        <w:overflowPunct/>
        <w:topLinePunct w:val="0"/>
        <w:autoSpaceDE/>
        <w:autoSpaceDN/>
        <w:bidi w:val="0"/>
        <w:spacing w:line="600" w:lineRule="exact"/>
        <w:textAlignment w:val="auto"/>
        <w:rPr>
          <w:rFonts w:hint="default"/>
          <w:strike w:val="0"/>
          <w:dstrike w:val="0"/>
          <w:color w:val="auto"/>
          <w:sz w:val="32"/>
          <w:szCs w:val="32"/>
          <w:highlight w:val="none"/>
          <w:u w:val="none" w:color="auto"/>
          <w:shd w:val="clear" w:color="auto" w:fill="auto"/>
          <w:lang w:val="en-US" w:eastAsia="zh-CN"/>
        </w:rPr>
      </w:pPr>
      <w:bookmarkStart w:id="155" w:name="_Toc988099824"/>
      <w:r>
        <w:rPr>
          <w:rFonts w:hint="eastAsia"/>
          <w:strike w:val="0"/>
          <w:dstrike w:val="0"/>
          <w:color w:val="auto"/>
          <w:sz w:val="32"/>
          <w:szCs w:val="32"/>
          <w:highlight w:val="none"/>
          <w:u w:val="none" w:color="auto"/>
          <w:shd w:val="clear" w:color="auto" w:fill="auto"/>
          <w:lang w:val="en-US" w:eastAsia="zh-CN"/>
        </w:rPr>
        <w:t>第十三章 提升庄河文化软实力，建设东北文旅强市</w:t>
      </w:r>
      <w:bookmarkEnd w:id="155"/>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坚持以社会主义核心价值观为引领，加强社会主义精神文明建设。推进文化事业全面繁荣，推动文体旅产业加快融合发展，构建“全域旅游、全季体验、全龄服务”的文体旅产业体系，打造东北县域旅游目的地。</w:t>
      </w:r>
      <w:bookmarkStart w:id="156" w:name="_Toc6638"/>
    </w:p>
    <w:bookmarkEnd w:id="156"/>
    <w:p>
      <w:pPr>
        <w:pStyle w:val="4"/>
        <w:pageBreakBefore w:val="0"/>
        <w:widowControl w:val="0"/>
        <w:kinsoku/>
        <w:wordWrap/>
        <w:overflowPunct/>
        <w:topLinePunct w:val="0"/>
        <w:autoSpaceDE/>
        <w:autoSpaceDN/>
        <w:bidi w:val="0"/>
        <w:spacing w:line="600" w:lineRule="exact"/>
        <w:textAlignment w:val="auto"/>
        <w:rPr>
          <w:rFonts w:hint="eastAsia"/>
          <w:strike w:val="0"/>
          <w:dstrike w:val="0"/>
          <w:color w:val="auto"/>
          <w:sz w:val="32"/>
          <w:szCs w:val="32"/>
          <w:highlight w:val="none"/>
          <w:u w:val="none" w:color="auto"/>
          <w:shd w:val="clear" w:color="auto" w:fill="auto"/>
          <w:lang w:val="en-US" w:eastAsia="zh-CN"/>
        </w:rPr>
      </w:pPr>
      <w:bookmarkStart w:id="157" w:name="_Toc408796627"/>
      <w:r>
        <w:rPr>
          <w:rFonts w:hint="eastAsia"/>
          <w:strike w:val="0"/>
          <w:dstrike w:val="0"/>
          <w:color w:val="auto"/>
          <w:sz w:val="32"/>
          <w:szCs w:val="32"/>
          <w:highlight w:val="none"/>
          <w:u w:val="none" w:color="auto"/>
          <w:shd w:val="clear" w:color="auto" w:fill="auto"/>
          <w:lang w:val="en-US" w:eastAsia="zh-CN"/>
        </w:rPr>
        <w:t>第一节 全面提升社会精神文明程度</w:t>
      </w:r>
      <w:bookmarkEnd w:id="157"/>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积极培育和践行社会主义核心价值观。</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坚持和巩固习近平新时代中国特色社会主义思想指导地位，推进党的创新理论传播，激发同心共筑中国梦、万众一心向前进的强大精神力量，把社会主义核心价值观融入社会发展各方面。持续深入开展新时代中国特色社会主义和中华民族伟大复兴宣传教育，加强社会主义先进文化研究和创作生产，强化传统文化和社会主义核心价值观文化熏陶。广泛开展群众性学习，充分运用各种宣传舆论手段，推动习近平新时代中国特色社会主义思想真正入脑入心、落地生根，让社会主义核心价值观潜移默化、深入人心。坚定文化自信，坚持以社会主义核心价值观引领文化建设，促进满足人民文化需求和增强人民精神力量相统一，推进社会主义文化强国建设。</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全面推进新时代文明培育。</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深化城乡精神文明建设，推进农村移风易俗。引导市民群众将文明行为融入工作与生活，成为日常行为习惯，营造人人讲文明、处处有文明的社会大环境。加强家庭家教家风建设，弘扬中华民族传统美德，践行现代家庭文明理念。实施传统节日振兴工程，提升群众对传统节日的文化认同感。发挥好人模范示范作用，积极选树宣传“时代楷模”“道德模范”“最美人物”“身边好人”等先进典型。加强和改进未成年人思想道德建设，深入实施“时代新人铸魂工程”。</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做大做强主流舆论宣传。</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依托宣传思想文化阵地，讲好庄河故事，传播好庄河声音。增加社会主义核心价值观公益广告刊播频次，积极弘扬社会正能量。推进网络文明阵地建设，</w:t>
      </w:r>
      <w:r>
        <w:rPr>
          <w:rFonts w:hint="eastAsia" w:ascii="仿宋_GB2312" w:hAnsi="仿宋_GB2312" w:eastAsia="仿宋_GB2312" w:cs="仿宋_GB2312"/>
          <w:b w:val="0"/>
          <w:bCs w:val="0"/>
          <w:color w:val="auto"/>
          <w:sz w:val="32"/>
          <w:szCs w:val="32"/>
          <w:highlight w:val="none"/>
          <w:u w:val="none" w:color="auto"/>
          <w:lang w:val="en-US" w:eastAsia="zh-CN"/>
        </w:rPr>
        <w:t>构建立体式、多样化、协同性网络传播格局。</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充分利用媒体平台，大力推广全市精神文明建设的举措与成效，形成浩大声势，壮大规模效应。</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eastAsia="zh-CN"/>
        </w:rPr>
        <w:t>健全完善新时代志愿服务体系。</w:t>
      </w:r>
      <w:r>
        <w:rPr>
          <w:rFonts w:hint="eastAsia" w:ascii="仿宋_GB2312" w:hAnsi="仿宋_GB2312" w:eastAsia="仿宋_GB2312" w:cs="仿宋_GB2312"/>
          <w:strike w:val="0"/>
          <w:dstrike w:val="0"/>
          <w:color w:val="auto"/>
          <w:sz w:val="32"/>
          <w:szCs w:val="32"/>
          <w:highlight w:val="none"/>
          <w:u w:val="none" w:color="auto"/>
          <w:shd w:val="clear" w:color="auto" w:fill="auto"/>
          <w:lang w:eastAsia="zh-CN"/>
        </w:rPr>
        <w:t>弘扬奉献、友爱、互助、进步的志愿精神，健全适应新时代要求、具有中国特色的志愿服务体系，推动形成系统完备、科学规范、协同高效的志愿服务制度。</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支持和发展社会工作服务机构和志愿服务组织，</w:t>
      </w:r>
      <w:r>
        <w:rPr>
          <w:rFonts w:hint="eastAsia" w:ascii="仿宋_GB2312" w:hAnsi="仿宋_GB2312" w:eastAsia="仿宋_GB2312" w:cs="仿宋_GB2312"/>
          <w:strike w:val="0"/>
          <w:dstrike w:val="0"/>
          <w:color w:val="auto"/>
          <w:sz w:val="32"/>
          <w:szCs w:val="32"/>
          <w:highlight w:val="none"/>
          <w:u w:val="none" w:color="auto"/>
          <w:shd w:val="clear" w:color="auto" w:fill="auto"/>
          <w:lang w:eastAsia="zh-CN"/>
        </w:rPr>
        <w:t>打造素质过硬、管理规范的志愿服务队伍。推动建设布局合理、覆盖广泛的志愿服务阵地。</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打造“‘河’我一起·庄庄有爱”系列志愿服务项目，</w:t>
      </w:r>
      <w:r>
        <w:rPr>
          <w:rFonts w:hint="eastAsia" w:ascii="仿宋_GB2312" w:hAnsi="仿宋_GB2312" w:eastAsia="仿宋_GB2312" w:cs="仿宋_GB2312"/>
          <w:strike w:val="0"/>
          <w:dstrike w:val="0"/>
          <w:color w:val="auto"/>
          <w:sz w:val="32"/>
          <w:szCs w:val="32"/>
          <w:highlight w:val="none"/>
          <w:u w:val="none" w:color="auto"/>
          <w:shd w:val="clear" w:color="auto" w:fill="auto"/>
          <w:lang w:eastAsia="zh-CN"/>
        </w:rPr>
        <w:t>提升志愿服务社会参与率和活跃度，增强全社会责任意识和奉献意识，实现志愿服务高质量发展。</w:t>
      </w:r>
    </w:p>
    <w:p>
      <w:pPr>
        <w:pStyle w:val="4"/>
        <w:pageBreakBefore w:val="0"/>
        <w:widowControl w:val="0"/>
        <w:kinsoku/>
        <w:wordWrap/>
        <w:overflowPunct/>
        <w:topLinePunct w:val="0"/>
        <w:autoSpaceDE/>
        <w:autoSpaceDN/>
        <w:bidi w:val="0"/>
        <w:spacing w:line="600" w:lineRule="exact"/>
        <w:textAlignment w:val="auto"/>
        <w:rPr>
          <w:rFonts w:hint="eastAsia"/>
          <w:strike w:val="0"/>
          <w:dstrike w:val="0"/>
          <w:color w:val="auto"/>
          <w:sz w:val="32"/>
          <w:szCs w:val="32"/>
          <w:highlight w:val="none"/>
          <w:u w:val="none" w:color="auto"/>
          <w:shd w:val="clear" w:color="auto" w:fill="auto"/>
          <w:lang w:val="en-US" w:eastAsia="zh-CN"/>
        </w:rPr>
      </w:pPr>
      <w:bookmarkStart w:id="158" w:name="_Toc518544299"/>
      <w:r>
        <w:rPr>
          <w:rFonts w:hint="eastAsia"/>
          <w:strike w:val="0"/>
          <w:dstrike w:val="0"/>
          <w:color w:val="auto"/>
          <w:sz w:val="32"/>
          <w:szCs w:val="32"/>
          <w:highlight w:val="none"/>
          <w:u w:val="none" w:color="auto"/>
          <w:shd w:val="clear" w:color="auto" w:fill="auto"/>
          <w:lang w:val="en-US" w:eastAsia="zh-CN"/>
        </w:rPr>
        <w:t>第二节 高水平满足人民公共文化需求</w:t>
      </w:r>
      <w:bookmarkEnd w:id="158"/>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深入实施文化惠民工程。</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深入开展文化科技卫生“三下乡”、公共文化服务“七进”等活动。积极引入社会力量参与公共文化服务。推进城乡公共文化服务体系一体建设，创新拓展城乡公共文化空间，推动各级公共文化服务设施全覆盖。大力推进乡村文化振兴，广泛开展群众文化活动。改造提升图书馆、文化馆、青少年宫、档案馆分库房，完善健全基层文化服务设施建设，加快基层文化站提档升级。推动智慧广电工程。完善文化馆、图书馆向社会免费开放制度，支持有条件的文化场馆夜间开放，推进社区书屋、农家书屋效能提升。打造“15分钟品质文化生活圈”，满足人民群众日益增长的精神文化需求。</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加强公共体育设施建设。</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加大公共健身设施建设力度，推进体育公园、健身步道等建设，实现三级公共健身设施全覆盖。建设九顶梅花、庄河湾两个多功能全民健身体育公园，推动大学城体育馆向社会开放，因地制宜打造“15分钟体育健身圈”。持续加强体育文化和数字体育建设，</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办好环石城岛自行车挑战赛、攀冰比赛、森林猎人挑战赛等体育赛事</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活动。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加强庄河特色文化内容创作。</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系统整理庄河地方史志、民俗传承、红色文化资源，为庄河文化传播提供丰富素材和坚实基础。推动与庄河有关的红色题材、现实题材和反映时代新气象、讴歌人民新创造的文艺作品和出版物创作生产，展现庄河文化的独特魅力，全方位塑造“魅力庄河”形象。提高广播电视节目创新创优能力，有效提升节目思想内涵和文化含量。孵化培育并推出一批有影响力的优秀主题出版物，打造新闻出版精品。</w:t>
      </w:r>
      <w:r>
        <w:rPr>
          <w:rFonts w:hint="eastAsia" w:ascii="仿宋_GB2312" w:hAnsi="仿宋_GB2312" w:eastAsia="仿宋_GB2312" w:cs="仿宋_GB2312"/>
          <w:color w:val="auto"/>
          <w:sz w:val="32"/>
          <w:szCs w:val="32"/>
          <w:highlight w:val="none"/>
        </w:rPr>
        <w:t>加强剪纸、皮影戏、属相灯等非物质文化遗产保护和传承。</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建设高素质文化人才队伍，激励文艺工作者出精品、攀高峰，用优秀文艺作品讲出庄河大地的美好，讲好奋斗不息的“庄河故事”。</w:t>
      </w:r>
    </w:p>
    <w:p>
      <w:pPr>
        <w:pStyle w:val="4"/>
        <w:pageBreakBefore w:val="0"/>
        <w:widowControl w:val="0"/>
        <w:kinsoku/>
        <w:wordWrap/>
        <w:overflowPunct/>
        <w:topLinePunct w:val="0"/>
        <w:autoSpaceDE/>
        <w:autoSpaceDN/>
        <w:bidi w:val="0"/>
        <w:spacing w:line="600" w:lineRule="exact"/>
        <w:textAlignment w:val="auto"/>
        <w:rPr>
          <w:rFonts w:hint="eastAsia"/>
          <w:strike w:val="0"/>
          <w:dstrike w:val="0"/>
          <w:color w:val="auto"/>
          <w:sz w:val="32"/>
          <w:szCs w:val="32"/>
          <w:highlight w:val="none"/>
          <w:u w:val="none" w:color="auto"/>
          <w:shd w:val="clear" w:color="auto" w:fill="auto"/>
          <w:lang w:val="en-US" w:eastAsia="zh-CN"/>
        </w:rPr>
      </w:pPr>
      <w:bookmarkStart w:id="159" w:name="_Toc69678928"/>
      <w:r>
        <w:rPr>
          <w:rFonts w:hint="eastAsia"/>
          <w:strike w:val="0"/>
          <w:dstrike w:val="0"/>
          <w:color w:val="auto"/>
          <w:sz w:val="32"/>
          <w:szCs w:val="32"/>
          <w:highlight w:val="none"/>
          <w:u w:val="none" w:color="auto"/>
          <w:shd w:val="clear" w:color="auto" w:fill="auto"/>
          <w:lang w:val="en-US" w:eastAsia="zh-CN"/>
        </w:rPr>
        <w:t>第三节 大力推进文体旅深度融合发展</w:t>
      </w:r>
      <w:bookmarkEnd w:id="159"/>
    </w:p>
    <w:p>
      <w:pPr>
        <w:pStyle w:val="8"/>
        <w:overflowPunct w:val="0"/>
        <w:adjustRightInd w:val="0"/>
        <w:snapToGrid w:val="0"/>
        <w:spacing w:after="0" w:line="600" w:lineRule="exact"/>
        <w:ind w:firstLine="643"/>
        <w:rPr>
          <w:rFonts w:hint="eastAsia" w:eastAsia="仿宋_GB2312"/>
          <w:strike w:val="0"/>
          <w:dstrike w:val="0"/>
          <w:color w:val="auto"/>
          <w:sz w:val="32"/>
          <w:szCs w:val="32"/>
          <w:highlight w:val="none"/>
          <w:u w:val="none" w:color="auto"/>
          <w:shd w:val="clear" w:color="auto" w:fill="auto"/>
          <w:lang w:val="en-US" w:eastAsia="zh-CN"/>
        </w:rPr>
      </w:pPr>
      <w:r>
        <w:rPr>
          <w:rFonts w:hint="eastAsia" w:eastAsia="仿宋_GB2312"/>
          <w:b/>
          <w:bCs/>
          <w:strike w:val="0"/>
          <w:dstrike w:val="0"/>
          <w:color w:val="auto"/>
          <w:sz w:val="32"/>
          <w:szCs w:val="32"/>
          <w:highlight w:val="none"/>
          <w:u w:val="none" w:color="auto"/>
          <w:shd w:val="clear" w:color="auto" w:fill="auto"/>
          <w:lang w:val="en-US" w:eastAsia="zh-CN"/>
        </w:rPr>
        <w:t>完善文旅基础设施。</w:t>
      </w:r>
      <w:r>
        <w:rPr>
          <w:rFonts w:hint="eastAsia" w:eastAsia="仿宋_GB2312"/>
          <w:strike w:val="0"/>
          <w:dstrike w:val="0"/>
          <w:color w:val="auto"/>
          <w:sz w:val="32"/>
          <w:szCs w:val="32"/>
          <w:highlight w:val="none"/>
          <w:u w:val="none" w:color="auto"/>
          <w:shd w:val="clear" w:color="auto" w:fill="auto"/>
          <w:lang w:val="en-US" w:eastAsia="zh-CN"/>
        </w:rPr>
        <w:t>推动全域旅游基础设施提升，努力打造东北重要旅游目的地。谋划建设集文化创意、设计研发、生产制造、展示交易等功能于一体的文化产业项目，推动文化产业发展。</w:t>
      </w:r>
      <w:r>
        <w:rPr>
          <w:rFonts w:hint="eastAsia" w:ascii="Times New Roman" w:hAnsi="Times New Roman" w:eastAsia="仿宋_GB2312" w:cs="Times New Roman"/>
          <w:strike w:val="0"/>
          <w:dstrike w:val="0"/>
          <w:color w:val="auto"/>
          <w:sz w:val="32"/>
          <w:szCs w:val="32"/>
          <w:highlight w:val="none"/>
          <w:u w:val="none" w:color="auto"/>
          <w:lang w:val="zh-CN"/>
        </w:rPr>
        <w:t>积极争取增加更多通往庄河的高铁、动车频次，缩短与主要客源地城市的交通时间。加强与周边城市的交通合作，开通旅游专线大巴，方便游客往返庄河与周边景区。增加景区之间的公交线路和班次，合理规划停车场。引导酒店、民宿提升服务质量，打造一批具有庄河文化特色的精品酒店和民宿。</w:t>
      </w:r>
    </w:p>
    <w:p>
      <w:pPr>
        <w:pageBreakBefore w:val="0"/>
        <w:widowControl w:val="0"/>
        <w:kinsoku/>
        <w:wordWrap/>
        <w:overflowPunct/>
        <w:topLinePunct w:val="0"/>
        <w:autoSpaceDE/>
        <w:autoSpaceDN/>
        <w:bidi w:val="0"/>
        <w:spacing w:line="600" w:lineRule="exact"/>
        <w:ind w:firstLine="63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eastAsia="仿宋_GB2312"/>
          <w:b/>
          <w:bCs/>
          <w:strike w:val="0"/>
          <w:dstrike w:val="0"/>
          <w:color w:val="auto"/>
          <w:sz w:val="32"/>
          <w:szCs w:val="32"/>
          <w:highlight w:val="none"/>
          <w:u w:val="none" w:color="auto"/>
          <w:shd w:val="clear" w:color="auto" w:fill="auto"/>
          <w:lang w:val="en-US" w:eastAsia="zh-CN"/>
        </w:rPr>
        <w:t>打造庄河文体旅特色</w:t>
      </w: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IP</w:t>
      </w:r>
      <w:r>
        <w:rPr>
          <w:rFonts w:hint="eastAsia" w:eastAsia="仿宋_GB2312"/>
          <w:b/>
          <w:bCs/>
          <w:strike w:val="0"/>
          <w:dstrike w:val="0"/>
          <w:color w:val="auto"/>
          <w:sz w:val="32"/>
          <w:szCs w:val="32"/>
          <w:highlight w:val="none"/>
          <w:u w:val="none" w:color="auto"/>
          <w:shd w:val="clear" w:color="auto" w:fill="auto"/>
          <w:lang w:val="en-US" w:eastAsia="zh-CN"/>
        </w:rPr>
        <w:t>。</w:t>
      </w:r>
      <w:r>
        <w:rPr>
          <w:rFonts w:hint="eastAsia" w:eastAsia="仿宋_GB2312"/>
          <w:strike w:val="0"/>
          <w:dstrike w:val="0"/>
          <w:color w:val="auto"/>
          <w:sz w:val="32"/>
          <w:szCs w:val="32"/>
          <w:highlight w:val="none"/>
          <w:u w:val="none" w:color="auto"/>
          <w:shd w:val="clear" w:color="auto" w:fill="auto"/>
          <w:lang w:val="en-US" w:eastAsia="zh-CN"/>
        </w:rPr>
        <w:t>依托庄河美丽山水和生态资源优势，进一步彰显“海岛、文化、山林”等旅游特色，擦亮“中国优秀旅游城市”“中国生态旅游品牌城市”“国家休闲与乡村旅游示范县”等品牌，提升旅游目的地的知名度和美誉度。</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强化传统媒体与新媒体营销，提高庄河文旅的曝光度。</w:t>
      </w:r>
      <w:r>
        <w:rPr>
          <w:rFonts w:hint="eastAsia" w:eastAsia="仿宋_GB2312"/>
          <w:strike w:val="0"/>
          <w:dstrike w:val="0"/>
          <w:color w:val="auto"/>
          <w:sz w:val="32"/>
          <w:szCs w:val="32"/>
          <w:highlight w:val="none"/>
          <w:u w:val="none" w:color="auto"/>
          <w:shd w:val="clear" w:color="auto" w:fill="auto"/>
          <w:lang w:val="en-US" w:eastAsia="zh-CN"/>
        </w:rPr>
        <w:t>完善上下街等历史文化风貌区修缮保护开发。</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强化品牌营销推广，重点打造“生蚝美食季”“冰雪运动会”等10项核心IP。</w:t>
      </w:r>
    </w:p>
    <w:p>
      <w:pPr>
        <w:pageBreakBefore w:val="0"/>
        <w:widowControl w:val="0"/>
        <w:kinsoku/>
        <w:wordWrap/>
        <w:overflowPunct/>
        <w:topLinePunct w:val="0"/>
        <w:autoSpaceDE/>
        <w:autoSpaceDN/>
        <w:bidi w:val="0"/>
        <w:spacing w:line="600" w:lineRule="exact"/>
        <w:ind w:firstLine="63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eastAsia="仿宋_GB2312"/>
          <w:b/>
          <w:bCs/>
          <w:strike w:val="0"/>
          <w:dstrike w:val="0"/>
          <w:color w:val="auto"/>
          <w:sz w:val="32"/>
          <w:szCs w:val="32"/>
          <w:highlight w:val="none"/>
          <w:u w:val="none" w:color="auto"/>
          <w:shd w:val="clear" w:color="auto" w:fill="auto"/>
          <w:lang w:val="en-US" w:eastAsia="zh-CN"/>
        </w:rPr>
        <w:t>创新“旅游＋”多元融合业态。</w:t>
      </w:r>
      <w:r>
        <w:rPr>
          <w:rFonts w:hint="eastAsia" w:eastAsia="仿宋_GB2312"/>
          <w:strike w:val="0"/>
          <w:dstrike w:val="0"/>
          <w:color w:val="auto"/>
          <w:sz w:val="32"/>
          <w:szCs w:val="32"/>
          <w:highlight w:val="none"/>
          <w:u w:val="none" w:color="auto"/>
          <w:shd w:val="clear" w:color="auto" w:fill="auto"/>
          <w:lang w:val="en-US" w:eastAsia="zh-CN"/>
        </w:rPr>
        <w:t>整合全市旅游资源，打造一批精品旅游线路和景区，提升旅游服务质量和水平。开发生态旅游线路，设计研学旅游产品，打造健康养生及运动体育等新型旅游业态，形成景区观光游、美丽乡村游、文化体验游、健康养生游、运动休闲游等完整</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旅游产品体系。推出“文体旅</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非遗”“文体旅</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赛事”“文体旅</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渔业”“文体旅</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工业”“跟着美食去旅行”“跟着影视剧、微短剧去旅行”等各类融合业态。推广“民宿</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N”模式，发展微度假项目，满足年轻家庭短途游需求。到2030年，游客数量突破1360万人次。</w:t>
      </w:r>
    </w:p>
    <w:p>
      <w:pPr>
        <w:pageBreakBefore w:val="0"/>
        <w:widowControl w:val="0"/>
        <w:kinsoku/>
        <w:wordWrap/>
        <w:overflowPunct/>
        <w:topLinePunct w:val="0"/>
        <w:autoSpaceDE/>
        <w:autoSpaceDN/>
        <w:bidi w:val="0"/>
        <w:spacing w:line="600" w:lineRule="exact"/>
        <w:ind w:firstLine="630"/>
        <w:jc w:val="both"/>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400" w:type="dxa"/>
          </w:tcPr>
          <w:p>
            <w:pPr>
              <w:jc w:val="center"/>
              <w:rPr>
                <w:rFonts w:hint="eastAsia" w:ascii="黑体" w:hAnsi="黑体" w:eastAsia="黑体" w:cs="黑体"/>
                <w:strike w:val="0"/>
                <w:dstrike w:val="0"/>
                <w:color w:val="auto"/>
                <w:sz w:val="24"/>
                <w:szCs w:val="24"/>
                <w:highlight w:val="none"/>
                <w:u w:val="none" w:color="auto"/>
                <w:lang w:val="en-US" w:eastAsia="zh-CN"/>
              </w:rPr>
            </w:pPr>
            <w:r>
              <w:rPr>
                <w:rFonts w:hint="eastAsia" w:ascii="黑体" w:hAnsi="黑体" w:eastAsia="黑体" w:cs="黑体"/>
                <w:strike w:val="0"/>
                <w:dstrike w:val="0"/>
                <w:color w:val="auto"/>
                <w:sz w:val="24"/>
                <w:szCs w:val="24"/>
                <w:highlight w:val="none"/>
                <w:u w:val="none" w:color="auto"/>
                <w:lang w:val="en-US" w:eastAsia="zh-CN"/>
              </w:rPr>
              <w:t>专栏13 文化旅游产业重点工程</w:t>
            </w:r>
          </w:p>
          <w:p>
            <w:pPr>
              <w:keepNext w:val="0"/>
              <w:keepLines w:val="0"/>
              <w:pageBreakBefore w:val="0"/>
              <w:widowControl w:val="0"/>
              <w:kinsoku/>
              <w:wordWrap/>
              <w:overflowPunct/>
              <w:topLinePunct w:val="0"/>
              <w:bidi w:val="0"/>
              <w:adjustRightInd/>
              <w:snapToGrid/>
              <w:spacing w:line="400" w:lineRule="exact"/>
              <w:textAlignment w:val="auto"/>
              <w:rPr>
                <w:rFonts w:hint="eastAsia"/>
                <w:strike w:val="0"/>
                <w:dstrike w:val="0"/>
                <w:color w:val="auto"/>
                <w:highlight w:val="none"/>
                <w:u w:val="none" w:color="auto"/>
                <w:lang w:val="en-US" w:eastAsia="zh-CN"/>
              </w:rPr>
            </w:pP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kern w:val="2"/>
                <w:sz w:val="21"/>
                <w:szCs w:val="24"/>
                <w:highlight w:val="none"/>
                <w:u w:val="none" w:color="auto"/>
                <w:lang w:val="en-US" w:eastAsia="zh-CN" w:bidi="ar-SA"/>
              </w:rPr>
              <w:t>文化场馆改造提升工程</w:t>
            </w:r>
            <w:r>
              <w:rPr>
                <w:rFonts w:hint="eastAsia" w:asciiTheme="minorEastAsia" w:hAnsiTheme="minorEastAsia" w:cstheme="minorEastAsia"/>
                <w:b/>
                <w:bCs/>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建设“数字文化馆”“数字图书馆”，推动公共文化服务数字化转型。</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kern w:val="2"/>
                <w:sz w:val="21"/>
                <w:szCs w:val="24"/>
                <w:highlight w:val="none"/>
                <w:u w:val="none" w:color="auto"/>
                <w:lang w:val="en-US" w:eastAsia="zh-CN" w:bidi="ar-SA"/>
              </w:rPr>
              <w:t>文化惠民工程</w:t>
            </w:r>
            <w:r>
              <w:rPr>
                <w:rFonts w:hint="eastAsia" w:asciiTheme="minorEastAsia" w:hAnsiTheme="minorEastAsia" w:cstheme="minorEastAsia"/>
                <w:b/>
                <w:bCs/>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推进基层文化服务设施建设，保障15分钟生活圈中心集中布局1处社区文化活动中心，每个完整社区布局1处综合文化活动站。</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kern w:val="2"/>
                <w:sz w:val="21"/>
                <w:szCs w:val="24"/>
                <w:highlight w:val="none"/>
                <w:u w:val="none" w:color="auto"/>
                <w:lang w:val="en-US" w:eastAsia="zh-CN" w:bidi="ar-SA"/>
              </w:rPr>
              <w:t>文物保护工程</w:t>
            </w:r>
            <w:r>
              <w:rPr>
                <w:rFonts w:hint="eastAsia" w:asciiTheme="minorEastAsia" w:hAnsiTheme="minorEastAsia" w:cstheme="minorEastAsia"/>
                <w:b/>
                <w:bCs/>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谋划博物馆迁建项目。</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strike w:val="0"/>
                <w:dstrike w:val="0"/>
                <w:color w:val="auto"/>
                <w:highlight w:val="none"/>
                <w:u w:val="none" w:color="auto"/>
                <w:shd w:val="clear" w:color="auto" w:fill="auto"/>
                <w:vertAlign w:val="baseline"/>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kern w:val="2"/>
                <w:sz w:val="21"/>
                <w:szCs w:val="24"/>
                <w:highlight w:val="none"/>
                <w:u w:val="none" w:color="auto"/>
                <w:lang w:val="en-US" w:eastAsia="zh-CN" w:bidi="ar-SA"/>
              </w:rPr>
              <w:t>旅游景区升级改造工程</w:t>
            </w:r>
            <w:r>
              <w:rPr>
                <w:rFonts w:hint="eastAsia" w:asciiTheme="minorEastAsia" w:hAnsiTheme="minorEastAsia" w:cstheme="minorEastAsia"/>
                <w:b/>
                <w:bCs/>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对传统旅游景区进行升级改造。</w:t>
            </w:r>
          </w:p>
        </w:tc>
      </w:tr>
    </w:tbl>
    <w:p>
      <w:pPr>
        <w:pStyle w:val="3"/>
        <w:pageBreakBefore w:val="0"/>
        <w:widowControl w:val="0"/>
        <w:kinsoku/>
        <w:wordWrap/>
        <w:overflowPunct/>
        <w:topLinePunct w:val="0"/>
        <w:autoSpaceDE/>
        <w:autoSpaceDN/>
        <w:bidi w:val="0"/>
        <w:spacing w:line="600" w:lineRule="exact"/>
        <w:textAlignment w:val="auto"/>
        <w:rPr>
          <w:rFonts w:hint="eastAsia" w:ascii="仿宋_GB2312" w:hAnsi="仿宋_GB2312" w:eastAsia="仿宋_GB2312" w:cs="仿宋_GB2312"/>
          <w:strike w:val="0"/>
          <w:dstrike w:val="0"/>
          <w:color w:val="auto"/>
          <w:szCs w:val="32"/>
          <w:highlight w:val="none"/>
          <w:u w:val="none" w:color="auto"/>
          <w:shd w:val="clear" w:color="auto" w:fill="auto"/>
          <w:lang w:val="en-US" w:eastAsia="zh-CN"/>
        </w:rPr>
      </w:pPr>
      <w:bookmarkStart w:id="160" w:name="_Toc825596498"/>
      <w:r>
        <w:rPr>
          <w:rFonts w:hint="eastAsia"/>
          <w:strike w:val="0"/>
          <w:dstrike w:val="0"/>
          <w:color w:val="auto"/>
          <w:highlight w:val="none"/>
          <w:u w:val="none" w:color="auto"/>
          <w:shd w:val="clear" w:color="auto" w:fill="auto"/>
          <w:lang w:val="en-US" w:eastAsia="zh-CN"/>
        </w:rPr>
        <w:t>第十四章 全面保障安全稳定，着力建设平安庄河</w:t>
      </w:r>
      <w:bookmarkEnd w:id="160"/>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践行总体国家安全观，落实国家安全战略，维护国家安全，把安全发展贯穿经济社会发展各领域和全过程，提升安全发展能力水平，筑牢安全屏障。</w:t>
      </w:r>
    </w:p>
    <w:p>
      <w:pPr>
        <w:pStyle w:val="4"/>
        <w:pageBreakBefore w:val="0"/>
        <w:widowControl w:val="0"/>
        <w:kinsoku/>
        <w:wordWrap/>
        <w:overflowPunct/>
        <w:topLinePunct w:val="0"/>
        <w:autoSpaceDE/>
        <w:autoSpaceDN/>
        <w:bidi w:val="0"/>
        <w:spacing w:line="600" w:lineRule="exact"/>
        <w:textAlignment w:val="auto"/>
        <w:rPr>
          <w:rFonts w:hint="eastAsia" w:ascii="楷体_GB2312" w:hAnsi="楷体_GB2312" w:eastAsia="楷体_GB2312" w:cs="楷体_GB2312"/>
          <w:b/>
          <w:bCs/>
          <w:strike w:val="0"/>
          <w:dstrike w:val="0"/>
          <w:color w:val="auto"/>
          <w:kern w:val="2"/>
          <w:szCs w:val="32"/>
          <w:highlight w:val="none"/>
          <w:u w:val="none" w:color="auto"/>
          <w:shd w:val="clear" w:color="auto" w:fill="auto"/>
          <w:lang w:val="en-US" w:eastAsia="zh-CN" w:bidi="ar-SA"/>
        </w:rPr>
      </w:pPr>
      <w:bookmarkStart w:id="161" w:name="_Toc154089750"/>
      <w:r>
        <w:rPr>
          <w:rFonts w:hint="eastAsia"/>
          <w:strike w:val="0"/>
          <w:dstrike w:val="0"/>
          <w:color w:val="auto"/>
          <w:highlight w:val="none"/>
          <w:u w:val="none" w:color="auto"/>
          <w:shd w:val="clear" w:color="auto" w:fill="auto"/>
          <w:lang w:val="en-US" w:eastAsia="zh-CN"/>
        </w:rPr>
        <w:t xml:space="preserve">第一节 </w:t>
      </w:r>
      <w:r>
        <w:rPr>
          <w:rFonts w:hint="eastAsia" w:ascii="Times New Roman" w:hAnsi="Times New Roman" w:eastAsia="楷体_GB2312" w:cs="Arial"/>
          <w:b/>
          <w:strike w:val="0"/>
          <w:dstrike w:val="0"/>
          <w:color w:val="auto"/>
          <w:highlight w:val="none"/>
          <w:u w:val="none" w:color="auto"/>
        </w:rPr>
        <w:t>坚决维护政治安全</w:t>
      </w:r>
      <w:bookmarkEnd w:id="161"/>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坚定维护国家政权安全。</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加强捍卫国家政治安全体系建设，坚定维护国家政权安全、制度安全、意识形态安全。持续加强国家安全宣传教育，推动构建高效联动的国家安全人民防线体系。严密防范和严厉打击敌对势力渗透、破坏、颠覆、分裂活动。织密反恐防控网络，坚决守住暴恐事件“零发生”底线。夯实国家安全基础保障，强化粮食、能源资源、生态、重要产业链供应链安全保障能力。</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支持国防和军队建设。</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完善国防动员体系，加强民兵、预备役部队等后备力量建设，提升国防动员能力。加强新时代全民国防教育，建立集中统一、分工负责、军地协同的全民国防教育体系，弘扬拥政爱民、拥军优属光荣传统，推动双拥共建工作全面发展。</w:t>
      </w:r>
      <w:r>
        <w:rPr>
          <w:rFonts w:hint="eastAsia" w:ascii="仿宋_GB2312" w:hAnsi="仿宋_GB2312" w:eastAsia="仿宋_GB2312" w:cs="仿宋_GB2312"/>
          <w:color w:val="auto"/>
          <w:kern w:val="0"/>
          <w:sz w:val="32"/>
          <w:szCs w:val="32"/>
          <w:highlight w:val="none"/>
        </w:rPr>
        <w:t>构建布局合理、项目齐全、功能完备、资源共享的边海防基础设施体系。</w:t>
      </w:r>
    </w:p>
    <w:p>
      <w:pPr>
        <w:pStyle w:val="4"/>
        <w:pageBreakBefore w:val="0"/>
        <w:widowControl w:val="0"/>
        <w:kinsoku/>
        <w:wordWrap/>
        <w:overflowPunct/>
        <w:topLinePunct w:val="0"/>
        <w:autoSpaceDE/>
        <w:autoSpaceDN/>
        <w:bidi w:val="0"/>
        <w:spacing w:line="600" w:lineRule="exact"/>
        <w:textAlignment w:val="auto"/>
        <w:rPr>
          <w:rFonts w:hint="eastAsia" w:ascii="楷体_GB2312" w:hAnsi="楷体_GB2312" w:eastAsia="楷体_GB2312" w:cs="楷体_GB2312"/>
          <w:b/>
          <w:bCs/>
          <w:strike w:val="0"/>
          <w:dstrike w:val="0"/>
          <w:color w:val="auto"/>
          <w:kern w:val="2"/>
          <w:szCs w:val="32"/>
          <w:highlight w:val="none"/>
          <w:u w:val="none" w:color="auto"/>
          <w:shd w:val="clear" w:color="auto" w:fill="auto"/>
          <w:lang w:val="en-US" w:eastAsia="zh-CN" w:bidi="ar-SA"/>
        </w:rPr>
      </w:pPr>
      <w:bookmarkStart w:id="162" w:name="_Toc427744418"/>
      <w:r>
        <w:rPr>
          <w:rFonts w:hint="eastAsia"/>
          <w:strike w:val="0"/>
          <w:dstrike w:val="0"/>
          <w:color w:val="auto"/>
          <w:highlight w:val="none"/>
          <w:u w:val="none" w:color="auto"/>
          <w:shd w:val="clear" w:color="auto" w:fill="auto"/>
          <w:lang w:val="en-US" w:eastAsia="zh-CN"/>
        </w:rPr>
        <w:t>第二节 全面保障经济安全</w:t>
      </w:r>
      <w:bookmarkEnd w:id="162"/>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default"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完善政府债务管理。</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健全政府举债融资机制，建立健全全口径地方债务监测监管体系和防范化解隐性债务风险长效机制，加快融资平台改革转型。落实好一揽子化债方案，做好地方政府隐性债务化解处置，确保按期完成隐性债务“清零”任务。</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加快构建房地产发展新模式。</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建立更好满足刚性和改善性住房需求的住房供应体系。全面推行“好房子”建设标准和理念，引导开发企业全面提升建设品质。在新建住宅项目中融入全龄友好设计，满足全生命周期需求。全面加强监管，健全房地产风险监测预警体系，实行商品房预售资金闭环管理，防范“烂尾楼”风险。通过“新建</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改造</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转化”等举措多渠道、多主体供给，加快推动公租房、保障性租赁住房筹集和建设。通过推行信息公开、提升投诉处置效能、建设“红色物业”等措施，切实规范物业服务行为与公共收益管理，有效维护业主合法权益，提升群众获得感、幸福感、安全感。</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统筹金融发展与金融安全。</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强化金融监管，建立健全风险预警防控机制，推进金融组织“减量提质”，稳妥有序化解金融机构风险。依法严厉打击各种非法集资、非法金融活动等违法违规行为，</w:t>
      </w:r>
      <w:r>
        <w:rPr>
          <w:rFonts w:hint="eastAsia" w:ascii="仿宋_GB2312" w:hAnsi="仿宋_GB2312" w:eastAsia="仿宋_GB2312" w:cs="仿宋_GB2312"/>
          <w:strike w:val="0"/>
          <w:dstrike w:val="0"/>
          <w:color w:val="auto"/>
          <w:sz w:val="32"/>
          <w:szCs w:val="32"/>
          <w:highlight w:val="none"/>
          <w:u w:val="none" w:color="auto"/>
        </w:rPr>
        <w:t>维护金融市场秩序</w:t>
      </w:r>
      <w:r>
        <w:rPr>
          <w:rFonts w:hint="eastAsia" w:ascii="仿宋_GB2312" w:hAnsi="仿宋_GB2312" w:eastAsia="仿宋_GB2312" w:cs="仿宋_GB2312"/>
          <w:strike w:val="0"/>
          <w:dstrike w:val="0"/>
          <w:color w:val="auto"/>
          <w:sz w:val="32"/>
          <w:szCs w:val="32"/>
          <w:highlight w:val="none"/>
          <w:u w:val="none" w:color="auto"/>
          <w:lang w:eastAsia="zh-CN"/>
        </w:rPr>
        <w:t>，</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坚决守住不发生系统性金融风险的底线。</w:t>
      </w:r>
    </w:p>
    <w:p>
      <w:pPr>
        <w:pStyle w:val="4"/>
        <w:pageBreakBefore w:val="0"/>
        <w:widowControl w:val="0"/>
        <w:kinsoku/>
        <w:wordWrap/>
        <w:overflowPunct/>
        <w:topLinePunct w:val="0"/>
        <w:autoSpaceDE/>
        <w:autoSpaceDN/>
        <w:bidi w:val="0"/>
        <w:spacing w:line="600" w:lineRule="exact"/>
        <w:textAlignment w:val="auto"/>
        <w:rPr>
          <w:rFonts w:hint="eastAsia"/>
          <w:strike w:val="0"/>
          <w:dstrike w:val="0"/>
          <w:color w:val="auto"/>
          <w:highlight w:val="none"/>
          <w:u w:val="none" w:color="auto"/>
          <w:shd w:val="clear" w:color="auto" w:fill="auto"/>
          <w:lang w:val="en-US" w:eastAsia="zh-CN"/>
        </w:rPr>
      </w:pPr>
      <w:bookmarkStart w:id="163" w:name="_Toc302257658"/>
      <w:r>
        <w:rPr>
          <w:rFonts w:hint="eastAsia"/>
          <w:strike w:val="0"/>
          <w:dstrike w:val="0"/>
          <w:color w:val="auto"/>
          <w:highlight w:val="none"/>
          <w:u w:val="none" w:color="auto"/>
          <w:shd w:val="clear" w:color="auto" w:fill="auto"/>
          <w:lang w:val="en-US" w:eastAsia="zh-CN"/>
        </w:rPr>
        <w:t>第三节 提高公共安全保障能力</w:t>
      </w:r>
      <w:bookmarkEnd w:id="163"/>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构建优化协同高效的应急体系。</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健全重大突发公共事件处置保障体系，完善大安全大应急框架下应急指挥机制，整合公安、消防、水利、气象等部门的视频和数据资源，实现“一屏统览、一体联动”，增强应急管理系统性、整体性、协同性。健全重大安全风险防范化解协同机制和灾害事故应对处置现场指挥协调机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提高安全生产综合治理质效。</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完善安全生产责任体系，明确新业态、新领域安全生产监管责任。强化风险源头管控，健全安全生产监测预警体系，持续完善风险分级管控和隐患排查治理双重预防机制，推动治理模式向事前预防转型。深化安全生产专项整治，强化重点领域、重点行业、重大工程安全风险评估，推动重点行业领域企业建立健全常态化风险辨识与隐患排查机制，坚决防范遏制危险化学品、非煤矿山、建筑施工、交通等重特大安全事故。严格落实企业安全生产主体责任，强化执法检查与事故调查闭环管理，严肃追究事故责任，推行以信用监管为基础的企业安全承诺制。实行重大生产安全事故“一票否决”。</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提升防灾减灾救灾能力。</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强化地震灾害综合防治能力。推进地震监测预警能力建设，优化地震台网布局，加强“三网一员”培训，提升地震前兆监测预警能力和预警信息发布时效。加强建设工程抗震设防管理，推动学校、医院、应急避难场所等重要公共建筑按高于设防标准进行建设或加固。开展重点隐患排查并建立隐患点台账，提升地震应急救援能力，配备专业搜救装备，加强地震救援队伍实战演练，全面提高灾害防御与应对能力。</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加强应急能力体系建设。</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建立健全统一的应急物资储备和保障体系，进一步强化应急物资实物储备，满足启动全市Ⅱ级自然灾害救助应急响应需求。落实分级储备责任，提高应急物资统筹协调能力。构建“1个市级中心库</w:t>
      </w:r>
      <w:r>
        <w:rPr>
          <w:rFonts w:hint="eastAsia" w:ascii="仿宋_GB2312" w:hAnsi="仿宋_GB2312" w:eastAsia="仿宋_GB2312" w:cs="仿宋_GB2312"/>
          <w:strike w:val="0"/>
          <w:dstrike w:val="0"/>
          <w:color w:val="auto"/>
          <w:kern w:val="2"/>
          <w:sz w:val="32"/>
          <w:szCs w:val="32"/>
          <w:highlight w:val="none"/>
          <w:u w:val="none" w:color="auto"/>
          <w:shd w:val="clear" w:color="auto" w:fill="auto"/>
          <w:lang w:val="en-US" w:eastAsia="zh-CN" w:bidi="ar-SA"/>
        </w:rPr>
        <w:t>＋</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3个乡镇前置储备点”的应急物资储备体系，形成“30分钟物资保障圈”，覆盖全部高风险乡镇。强化避难场所建设，每个村建设1处避难场所，完善避难场所设施设备，定期开展维护与演练。推进乡镇（街道）“一队一站”建设，做好营房、人员车辆、基础救援装备配备，加强森林防火基础设施建设，强化基层风险排查、先期处置与科普宣传职能。进一步扩充专业救援力量，在现有19支市级应急队伍基础上，新建一支矿山专业救援队伍，重点提升高风险行业事故救援能力。推动实施基层消防救援能力“强基工程”。开展常态化应急演练。</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提升“三品一特”安全监管水平。</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强化食品安全全链条监管，提升药品、工业产品质量、特种设备安全监管能力与质效。实施食品安全放心工程，以校园餐、敬老院、旅游景区为重点，进一步夯实食品生产、流通治理能力。加强网络订餐监管，严厉打击危害食品安全违法犯罪行为。完善药品安全责任体系，筑牢药品安全底线。开展工业产品质量隐患排查，推进燃气、锅炉、电梯安全整治及游乐设施隐患治理。</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0" w:type="dxa"/>
          </w:tcPr>
          <w:p>
            <w:pPr>
              <w:jc w:val="center"/>
              <w:rPr>
                <w:rFonts w:hint="eastAsia" w:ascii="黑体" w:hAnsi="黑体" w:eastAsia="黑体" w:cs="黑体"/>
                <w:strike w:val="0"/>
                <w:dstrike w:val="0"/>
                <w:color w:val="auto"/>
                <w:sz w:val="24"/>
                <w:szCs w:val="24"/>
                <w:highlight w:val="none"/>
                <w:u w:val="none" w:color="auto"/>
                <w:lang w:val="en-US" w:eastAsia="zh-CN"/>
              </w:rPr>
            </w:pPr>
            <w:r>
              <w:rPr>
                <w:rFonts w:hint="eastAsia" w:ascii="黑体" w:hAnsi="黑体" w:eastAsia="黑体" w:cs="黑体"/>
                <w:strike w:val="0"/>
                <w:dstrike w:val="0"/>
                <w:color w:val="auto"/>
                <w:sz w:val="24"/>
                <w:szCs w:val="24"/>
                <w:highlight w:val="none"/>
                <w:u w:val="none" w:color="auto"/>
                <w:lang w:val="en-US" w:eastAsia="zh-CN"/>
              </w:rPr>
              <w:t>专栏14 公共安全保障重点工程</w:t>
            </w:r>
          </w:p>
          <w:p>
            <w:pPr>
              <w:jc w:val="left"/>
              <w:rPr>
                <w:rFonts w:hint="eastAsia"/>
                <w:strike w:val="0"/>
                <w:dstrike w:val="0"/>
                <w:color w:val="auto"/>
                <w:highlight w:val="none"/>
                <w:u w:val="none" w:color="auto"/>
                <w:lang w:val="en-US" w:eastAsia="zh-CN"/>
              </w:rPr>
            </w:pP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asciiTheme="minorEastAsia" w:hAnsiTheme="minorEastAsia" w:eastAsiaTheme="minorEastAsia" w:cstheme="minorEastAsia"/>
                <w:b w:val="0"/>
                <w:bCs w:val="0"/>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b/>
                <w:bCs/>
                <w:strike w:val="0"/>
                <w:dstrike w:val="0"/>
                <w:color w:val="auto"/>
                <w:highlight w:val="none"/>
                <w:u w:val="none" w:color="auto"/>
                <w:lang w:val="en-US" w:eastAsia="zh-CN"/>
              </w:rPr>
              <w:t>应急能力建设工程：</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1.新建光明山综合应急物资储备库1座，作为市级核心枢纽，辐射西部及市区，支撑“30分钟物资保障圈”核心节点，并配套建设智能仓储管理系统，实现物资全生命周期数字化管理；2.改建步云山乡、仙人洞镇、塔岭镇3个乡镇储备点。覆盖北部山区，配备保底通信设备，应对“三断”场景下的快速分拨；3.每个乡镇建设1个标准化应急站和1支综合救援队，并配备基本救援装备。</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asciiTheme="minorEastAsia" w:hAnsiTheme="minorEastAsia" w:eastAsiaTheme="minorEastAsia" w:cstheme="minorEastAsia"/>
                <w:b w:val="0"/>
                <w:bCs w:val="0"/>
                <w:strike w:val="0"/>
                <w:dstrike w:val="0"/>
                <w:color w:val="auto"/>
                <w:highlight w:val="none"/>
                <w:u w:val="none" w:color="auto"/>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highlight w:val="none"/>
                <w:u w:val="none" w:color="auto"/>
                <w:lang w:val="en-US" w:eastAsia="zh-CN"/>
              </w:rPr>
              <w:t>防灾减灾救灾能力提升工程：</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庄河市防汛防火应急指挥平台。</w:t>
            </w:r>
          </w:p>
          <w:p>
            <w:pPr>
              <w:keepNext w:val="0"/>
              <w:keepLines w:val="0"/>
              <w:pageBreakBefore w:val="0"/>
              <w:widowControl w:val="0"/>
              <w:kinsoku/>
              <w:wordWrap/>
              <w:overflowPunct/>
              <w:topLinePunct w:val="0"/>
              <w:bidi w:val="0"/>
              <w:adjustRightInd/>
              <w:snapToGrid/>
              <w:spacing w:line="400" w:lineRule="exact"/>
              <w:ind w:firstLine="420" w:firstLineChars="200"/>
              <w:textAlignment w:val="auto"/>
              <w:rPr>
                <w:rFonts w:hint="eastAsia" w:ascii="仿宋_GB2312" w:hAnsi="仿宋_GB2312" w:eastAsia="仿宋_GB2312" w:cs="仿宋_GB2312"/>
                <w:b/>
                <w:bCs/>
                <w:strike w:val="0"/>
                <w:dstrike w:val="0"/>
                <w:color w:val="auto"/>
                <w:sz w:val="32"/>
                <w:szCs w:val="32"/>
                <w:highlight w:val="none"/>
                <w:u w:val="none" w:color="auto"/>
                <w:shd w:val="clear" w:color="auto" w:fill="auto"/>
                <w:vertAlign w:val="baseline"/>
                <w:lang w:val="en-US" w:eastAsia="zh-CN"/>
              </w:rPr>
            </w:pPr>
            <w:r>
              <w:rPr>
                <w:rFonts w:hint="eastAsia" w:asciiTheme="minorEastAsia" w:hAnsiTheme="minorEastAsia" w:eastAsiaTheme="minorEastAsia" w:cstheme="minorEastAsia"/>
                <w:b w:val="0"/>
                <w:bCs w:val="0"/>
                <w:strike w:val="0"/>
                <w:dstrike w:val="0"/>
                <w:color w:val="auto"/>
                <w:kern w:val="2"/>
                <w:sz w:val="21"/>
                <w:szCs w:val="24"/>
                <w:highlight w:val="none"/>
                <w:u w:val="none" w:color="auto"/>
                <w:lang w:val="en-US" w:eastAsia="zh-CN" w:bidi="ar-SA"/>
              </w:rPr>
              <w:t>◆</w:t>
            </w:r>
            <w:r>
              <w:rPr>
                <w:rFonts w:hint="eastAsia" w:asciiTheme="minorEastAsia" w:hAnsiTheme="minorEastAsia" w:eastAsiaTheme="minorEastAsia" w:cstheme="minorEastAsia"/>
                <w:b/>
                <w:bCs/>
                <w:strike w:val="0"/>
                <w:dstrike w:val="0"/>
                <w:color w:val="auto"/>
                <w:highlight w:val="none"/>
                <w:u w:val="none" w:color="auto"/>
                <w:lang w:val="en-US" w:eastAsia="zh-CN"/>
              </w:rPr>
              <w:t>基层消防救援能力“强基工程”：</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 xml:space="preserve"> 1.</w:t>
            </w:r>
            <w:r>
              <w:rPr>
                <w:rFonts w:hint="eastAsia" w:asciiTheme="minorEastAsia" w:hAnsiTheme="minorEastAsia" w:cstheme="minorEastAsia"/>
                <w:b w:val="0"/>
                <w:bCs w:val="0"/>
                <w:strike w:val="0"/>
                <w:dstrike w:val="0"/>
                <w:color w:val="auto"/>
                <w:highlight w:val="none"/>
                <w:u w:val="none" w:color="auto"/>
                <w:lang w:val="en-US" w:eastAsia="zh-CN"/>
              </w:rPr>
              <w:t>加快</w:t>
            </w:r>
            <w:r>
              <w:rPr>
                <w:rFonts w:hint="eastAsia" w:asciiTheme="minorEastAsia" w:hAnsiTheme="minorEastAsia" w:eastAsiaTheme="minorEastAsia" w:cstheme="minorEastAsia"/>
                <w:b w:val="0"/>
                <w:bCs w:val="0"/>
                <w:strike w:val="0"/>
                <w:dstrike w:val="0"/>
                <w:color w:val="auto"/>
                <w:highlight w:val="none"/>
                <w:u w:val="none" w:color="auto"/>
                <w:lang w:val="en-US" w:eastAsia="zh-CN"/>
              </w:rPr>
              <w:t>17个乡镇政府专职消防队建设以及现有4个乡镇政府专职消防队营房、车辆装备的更新，构建起覆盖全域、响应快速的基层消防力量体系。2.新建庄河市核电站场外核事故应急救援物资储备库，符合核电站突发事故应急物资存储、快速调度的功能要求，保障物资存储安全与调运效率。</w:t>
            </w:r>
          </w:p>
        </w:tc>
      </w:tr>
    </w:tbl>
    <w:p>
      <w:pPr>
        <w:pStyle w:val="4"/>
        <w:pageBreakBefore w:val="0"/>
        <w:widowControl w:val="0"/>
        <w:kinsoku/>
        <w:wordWrap/>
        <w:overflowPunct/>
        <w:topLinePunct w:val="0"/>
        <w:autoSpaceDE/>
        <w:autoSpaceDN/>
        <w:bidi w:val="0"/>
        <w:spacing w:line="600" w:lineRule="exact"/>
        <w:textAlignment w:val="auto"/>
        <w:rPr>
          <w:rFonts w:hint="eastAsia"/>
          <w:strike w:val="0"/>
          <w:dstrike w:val="0"/>
          <w:color w:val="auto"/>
          <w:highlight w:val="none"/>
          <w:u w:val="none" w:color="auto"/>
          <w:shd w:val="clear" w:color="auto" w:fill="auto"/>
          <w:lang w:val="en-US" w:eastAsia="zh-CN"/>
        </w:rPr>
      </w:pPr>
      <w:bookmarkStart w:id="164" w:name="_Toc1758803165"/>
      <w:r>
        <w:rPr>
          <w:rFonts w:hint="eastAsia"/>
          <w:strike w:val="0"/>
          <w:dstrike w:val="0"/>
          <w:color w:val="auto"/>
          <w:highlight w:val="none"/>
          <w:u w:val="none" w:color="auto"/>
          <w:shd w:val="clear" w:color="auto" w:fill="auto"/>
          <w:lang w:val="en-US" w:eastAsia="zh-CN"/>
        </w:rPr>
        <w:t>第四节 全面加强社会治理</w:t>
      </w:r>
      <w:bookmarkEnd w:id="164"/>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提升基层治理现代化水平。</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健全党组织领导的自治、法治、德治相结合的城乡基层治理体系</w:t>
      </w:r>
      <w:r>
        <w:rPr>
          <w:rFonts w:hint="eastAsia" w:ascii="仿宋_GB2312" w:hAnsi="仿宋_GB2312" w:eastAsia="仿宋_GB2312" w:cs="仿宋_GB2312"/>
          <w:strike w:val="0"/>
          <w:dstrike w:val="0"/>
          <w:color w:val="auto"/>
          <w:sz w:val="32"/>
          <w:szCs w:val="32"/>
          <w:highlight w:val="none"/>
          <w:u w:val="none" w:color="auto"/>
          <w:shd w:val="clear" w:color="auto" w:fill="auto"/>
          <w:lang w:eastAsia="zh-CN"/>
        </w:rPr>
        <w:t>，构建共建共治共享的社会治理格局</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。持续完善乡镇</w:t>
      </w:r>
      <w:r>
        <w:rPr>
          <w:rFonts w:hint="eastAsia" w:ascii="仿宋_GB2312" w:hAnsi="仿宋_GB2312" w:eastAsia="仿宋_GB2312" w:cs="仿宋_GB2312"/>
          <w:strike w:val="0"/>
          <w:dstrike w:val="0"/>
          <w:color w:val="auto"/>
          <w:sz w:val="32"/>
          <w:szCs w:val="32"/>
          <w:highlight w:val="none"/>
          <w:u w:val="none" w:color="auto"/>
          <w:shd w:val="clear" w:color="auto" w:fill="auto"/>
          <w:lang w:eastAsia="zh-CN"/>
        </w:rPr>
        <w:t>（街道）</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权力清单、责任清单和公共服务事项清单。</w:t>
      </w:r>
      <w:r>
        <w:rPr>
          <w:rFonts w:hint="eastAsia" w:ascii="仿宋_GB2312" w:hAnsi="仿宋_GB2312" w:eastAsia="仿宋_GB2312" w:cs="仿宋_GB2312"/>
          <w:strike w:val="0"/>
          <w:dstrike w:val="0"/>
          <w:color w:val="auto"/>
          <w:sz w:val="32"/>
          <w:szCs w:val="32"/>
          <w:highlight w:val="none"/>
          <w:u w:val="none" w:color="auto"/>
          <w:shd w:val="clear" w:color="auto" w:fill="auto"/>
          <w:lang w:eastAsia="zh-CN"/>
        </w:rPr>
        <w:t>增强乡镇（街道）行政执行、为民服务、议事协商、应急管理和平安建设能力。加强村（居）民委员会规范化建设，健全村（居）民自治机制，增强村（社区）组织动员能力</w:t>
      </w:r>
      <w:r>
        <w:rPr>
          <w:rFonts w:hint="eastAsia" w:ascii="仿宋_GB2312" w:hAnsi="仿宋_GB2312" w:eastAsia="仿宋_GB2312" w:cs="仿宋_GB2312"/>
          <w:strike w:val="0"/>
          <w:dstrike w:val="0"/>
          <w:color w:val="auto"/>
          <w:sz w:val="32"/>
          <w:szCs w:val="32"/>
          <w:highlight w:val="none"/>
          <w:u w:val="none" w:color="auto"/>
          <w:shd w:val="clear" w:color="auto" w:fill="auto"/>
        </w:rPr>
        <w:t>。</w:t>
      </w:r>
      <w:r>
        <w:rPr>
          <w:rFonts w:hint="eastAsia" w:ascii="仿宋_GB2312" w:hAnsi="仿宋_GB2312" w:eastAsia="仿宋_GB2312" w:cs="仿宋_GB2312"/>
          <w:strike w:val="0"/>
          <w:dstrike w:val="0"/>
          <w:color w:val="auto"/>
          <w:sz w:val="32"/>
          <w:szCs w:val="32"/>
          <w:highlight w:val="none"/>
          <w:u w:val="none" w:color="auto"/>
          <w:shd w:val="clear" w:color="auto" w:fill="auto"/>
          <w:lang w:eastAsia="zh-CN"/>
        </w:rPr>
        <w:t>健全完善村规民约、居民公约，</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提升基层自治效能。引导社会组织深度融入和服务全市发展大局，在科技创新、新兴产业、民政事业等关键领域发挥积极作用。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完善矛盾纠纷多元化解机制。</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畅通和规范群众诉求表达、利益协调、权益保障通道，保障群众合理合法诉求。坚持和发展新时代“枫桥经验”</w:t>
      </w:r>
      <w:r>
        <w:rPr>
          <w:rFonts w:hint="eastAsia" w:ascii="仿宋_GB2312" w:hAnsi="仿宋_GB2312" w:eastAsia="仿宋_GB2312" w:cs="仿宋_GB2312"/>
          <w:b w:val="0"/>
          <w:bCs w:val="0"/>
          <w:strike w:val="0"/>
          <w:dstrike w:val="0"/>
          <w:color w:val="auto"/>
          <w:sz w:val="32"/>
          <w:szCs w:val="32"/>
          <w:highlight w:val="none"/>
          <w:u w:val="none" w:color="auto"/>
          <w:shd w:val="clear" w:color="auto" w:fill="auto"/>
          <w:lang w:eastAsia="zh-CN"/>
        </w:rPr>
        <w:t>、</w:t>
      </w:r>
      <w:r>
        <w:rPr>
          <w:rFonts w:hint="eastAsia" w:ascii="仿宋_GB2312" w:hAnsi="仿宋_GB2312" w:eastAsia="仿宋_GB2312" w:cs="仿宋_GB2312"/>
          <w:b w:val="0"/>
          <w:bCs w:val="0"/>
          <w:strike w:val="0"/>
          <w:dstrike w:val="0"/>
          <w:color w:val="auto"/>
          <w:sz w:val="32"/>
          <w:szCs w:val="32"/>
          <w:highlight w:val="none"/>
          <w:u w:val="none" w:color="auto"/>
          <w:shd w:val="clear" w:color="auto" w:fill="auto"/>
        </w:rPr>
        <w:t>践行“浦江经验”</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，加强专业人民调解员和基层网格员队伍建设，提升社会矛盾纠纷预防化解能力，全面推进信访工作法治化。</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健全社会治安整体防控体系。</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织密基层治安防控网，加强基层治安防控基础设施建设，强化重点领域、重点物品监管和重点人员管理服务，提升社会治安防控整体效能。健全完善重大决策社会稳定风险评估机制，高度关注社会民生领域敏感、热点问题，加强重点领域风险集中排查化解，建立重大风险问题清单制度和防范化解责任分担机制，健全群体性事件应急处置体系，强化大型活动及群众性节庆聚集活动风险管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依法严厉打击各类违法犯罪。</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常态化开展扫黑除恶斗争，坚决防范和打击暴力恐怖、黑恶势力、新型网络犯罪等各种违法犯罪。深化禁毒宣传教育引导，筑牢全民禁毒思想防线，从严打击各类毒品犯罪活动。健全打击突出违法犯罪机制，补齐公安基础设施建设短板，推进安防设备升级改造，推进基层派出所及治安卡点合署业务用房等建设，加强警用装备现代化智能化建设，全面提升保障支撑能力。深化智慧海洋警务，强化渔港渔船管理，严厉打击涉海犯罪，筑牢边海安全防线。</w:t>
      </w:r>
    </w:p>
    <w:p>
      <w:pPr>
        <w:pStyle w:val="2"/>
        <w:bidi w:val="0"/>
        <w:rPr>
          <w:rFonts w:hint="eastAsia"/>
          <w:strike w:val="0"/>
          <w:dstrike w:val="0"/>
          <w:color w:val="auto"/>
          <w:highlight w:val="none"/>
          <w:u w:val="none" w:color="auto"/>
          <w:lang w:val="en-US" w:eastAsia="zh-CN"/>
        </w:rPr>
      </w:pPr>
      <w:bookmarkStart w:id="165" w:name="_Toc1678494620"/>
      <w:r>
        <w:rPr>
          <w:rFonts w:hint="eastAsia"/>
          <w:strike w:val="0"/>
          <w:dstrike w:val="0"/>
          <w:color w:val="auto"/>
          <w:highlight w:val="none"/>
          <w:u w:val="none" w:color="auto"/>
          <w:lang w:val="en-US" w:eastAsia="zh-CN"/>
        </w:rPr>
        <w:t>第四篇 完善规划实施保障，共绘现代化壮美蓝图</w:t>
      </w:r>
      <w:bookmarkEnd w:id="165"/>
    </w:p>
    <w:p>
      <w:pPr>
        <w:pStyle w:val="3"/>
        <w:bidi w:val="0"/>
        <w:rPr>
          <w:rFonts w:hint="default"/>
          <w:strike w:val="0"/>
          <w:dstrike w:val="0"/>
          <w:color w:val="auto"/>
          <w:highlight w:val="none"/>
          <w:u w:val="none" w:color="auto"/>
          <w:lang w:val="en-US" w:eastAsia="zh-CN"/>
        </w:rPr>
      </w:pPr>
      <w:bookmarkStart w:id="166" w:name="_Toc554004635"/>
      <w:r>
        <w:rPr>
          <w:rFonts w:hint="eastAsia"/>
          <w:strike w:val="0"/>
          <w:dstrike w:val="0"/>
          <w:color w:val="auto"/>
          <w:highlight w:val="none"/>
          <w:u w:val="none" w:color="auto"/>
          <w:lang w:val="en-US" w:eastAsia="zh-CN"/>
        </w:rPr>
        <w:t>第十五章 推动形成发展强大合力</w:t>
      </w:r>
      <w:bookmarkEnd w:id="166"/>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bookmarkStart w:id="167" w:name="_Toc322073659"/>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加强党的全面领导</w:t>
      </w:r>
      <w:bookmarkEnd w:id="167"/>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以发展规划引领经济社会发展，是党治国理政的重要方式，是中国特色社会主义发展模式的重要体现。推进规划实施，必须充分发挥党总揽全局、协调各方的领导作用，把党的领导贯彻到规划实施的全过程和各方面。坚持和完善党全面领导经济社会发展的体制机制，完善党委研究发展战略、定期分析经济形势、研究重大方针政策的工作机制，增强战略定力，提升战略思维，提高驾驭纷繁复杂局势的能力，抢抓机遇、统筹施策，引领</w:t>
      </w:r>
      <w:r>
        <w:rPr>
          <w:rFonts w:hint="eastAsia" w:ascii="仿宋_GB2312" w:eastAsia="仿宋_GB2312"/>
          <w:strike w:val="0"/>
          <w:dstrike w:val="0"/>
          <w:color w:val="auto"/>
          <w:sz w:val="32"/>
          <w:szCs w:val="32"/>
          <w:highlight w:val="none"/>
          <w:u w:val="none" w:color="auto"/>
          <w:shd w:val="clear" w:color="auto" w:fill="auto"/>
          <w:lang w:val="en-US" w:eastAsia="zh-CN"/>
        </w:rPr>
        <w:t>庄河</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在全面建设社会主义现代化国家中走在东北县域前列。要充分发挥基层党组织战斗堡垒作用和党员先锋模范作用，严防规划实施过程中的形式主义、官僚主义问题。要贯彻全面从严治党要求，讲求真抓实干、注重实效，为全市经济社会发展营造良好政治生态。</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bookmarkStart w:id="168" w:name="_Toc1800006343"/>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凝聚社会广泛共识</w:t>
      </w:r>
      <w:bookmarkEnd w:id="168"/>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践行全过程人民民主，坚定不移走中国特色社会主义政治发展道路。落实人民当家作主制度，坚持好、完善好、运行好人民代表大会制度，加强人大对“一府一委两院”的监督，支持和保证人民通过人民代表大会行使国家权力。贯彻党的群众路线，支持政协、统一战线发挥职能优势，完善听民意、聚民智、惠民生的制度机制，支持工会、共青团、妇联等人民团体和各类社会组织参与经济建设和社会治理。加大规划宣传力度，增强社会各界的认同感和积极性。着力推进规划实施的信息公开，健全政府与企业、群众的信息沟通和交流机制，鼓励市场主体、社会力量、人民群众等参与规划实施，提高规划实施的透明度和公众参与度，形成上下同心、目标同向、落实同步的推进机制，凝聚起全市人民智慧和力量，激发出全社会创造活力和发展动力，共同擘画庄河“十五五”规划宏伟蓝图。</w:t>
      </w:r>
    </w:p>
    <w:p>
      <w:pPr>
        <w:pStyle w:val="3"/>
        <w:bidi w:val="0"/>
        <w:rPr>
          <w:rFonts w:hint="default"/>
          <w:strike w:val="0"/>
          <w:dstrike w:val="0"/>
          <w:color w:val="auto"/>
          <w:highlight w:val="none"/>
          <w:u w:val="none" w:color="auto"/>
          <w:lang w:val="en-US" w:eastAsia="zh-CN"/>
        </w:rPr>
      </w:pPr>
      <w:bookmarkStart w:id="169" w:name="_Toc1734380072"/>
      <w:bookmarkStart w:id="170" w:name="_Toc1843633088"/>
      <w:r>
        <w:rPr>
          <w:rFonts w:hint="eastAsia"/>
          <w:strike w:val="0"/>
          <w:dstrike w:val="0"/>
          <w:color w:val="auto"/>
          <w:highlight w:val="none"/>
          <w:u w:val="none" w:color="auto"/>
          <w:lang w:val="en-US" w:eastAsia="zh-CN"/>
        </w:rPr>
        <w:t>第十六章 健全规划</w:t>
      </w:r>
      <w:bookmarkEnd w:id="169"/>
      <w:r>
        <w:rPr>
          <w:rFonts w:hint="eastAsia"/>
          <w:strike w:val="0"/>
          <w:dstrike w:val="0"/>
          <w:color w:val="auto"/>
          <w:highlight w:val="none"/>
          <w:u w:val="none" w:color="auto"/>
          <w:lang w:val="en-US" w:eastAsia="zh-CN"/>
        </w:rPr>
        <w:t>制定与落实机制</w:t>
      </w:r>
      <w:bookmarkEnd w:id="170"/>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推进统一规划体系建设。</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健全以发展规划为统领、空间规划为基础、专项规划为支撑的规划体系，充分发挥发展规划的战略导向作用，为其他规划落实战略部署提供总遵循。依据发展规划对国土空间规划进行调整完善，健全专项规划目录清单、编制立项、衔接协调等管理制度，制定实施一批专项规划、区域发展规划。强化国土空间规划的基础作用，依据发展规划提出的国土空间开发保护格局和空间结构优化要求，科学布局生产、生活、生态空间，对其他规划提出的空间开发保护活动提供指导和约束。增强专项规划和区域规划的支撑作用，对发展规划在特定领域明确的目标任务进行延伸细化。</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加强规划的实施与保障。</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将规划纲要确定的主要指标分解纳入年度计划指标体系，合理设置年度目标并做好年度间的综合平衡。按照部门职责，明确发展规划中的重大改革举措、重大项目和重点任务的责任单位，结合形势发展确定年度工作重点。强化对全局性、战略性及跨部门目标任务的统筹协调，形成各部门实施规划的强大合力。构建各类政策与规划的协调协同机制，促进财政、产业、就业等政策协同发展。加强财政预算与规划实施的衔接协调，财政性资金优先投向发展规划确定的重大改革举措、重大项目和重点任务。引导和鼓励各类金融机构重点支持发展规划确定的重大改革举措、重大项目和重点任务。坚持以项目落实规划，发挥好重大项目对规划落实的支撑作用。建立健全动态管理、滚动推进的全市重大重点项目库，作为审批核准重大项目、安排政府投资的依据。对入库项目，特别是事关经济社会发展全局的重要基础设施、民生社会项目，要建立健全项目推进机制，优先保障项目用地等指标需求。</w:t>
      </w:r>
      <w:bookmarkStart w:id="171" w:name="_Toc1499164241"/>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left"/>
        <w:textAlignment w:val="auto"/>
        <w:rPr>
          <w:rFonts w:hint="default" w:ascii="仿宋_GB2312" w:hAnsi="仿宋_GB2312" w:eastAsia="仿宋_GB2312" w:cs="仿宋_GB2312"/>
          <w:strike w:val="0"/>
          <w:dstrike w:val="0"/>
          <w:color w:val="auto"/>
          <w:sz w:val="32"/>
          <w:szCs w:val="32"/>
          <w:highlight w:val="none"/>
          <w:u w:val="none" w:color="auto"/>
          <w:shd w:val="clear" w:color="auto" w:fill="auto"/>
          <w:lang w:val="en-US" w:eastAsia="zh-CN"/>
        </w:rPr>
      </w:pPr>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加强规划监测评估</w:t>
      </w:r>
      <w:bookmarkEnd w:id="171"/>
      <w:r>
        <w:rPr>
          <w:rFonts w:hint="eastAsia" w:ascii="仿宋_GB2312" w:hAnsi="仿宋_GB2312" w:eastAsia="仿宋_GB2312" w:cs="仿宋_GB2312"/>
          <w:b/>
          <w:bCs/>
          <w:strike w:val="0"/>
          <w:dstrike w:val="0"/>
          <w:color w:val="auto"/>
          <w:sz w:val="32"/>
          <w:szCs w:val="32"/>
          <w:highlight w:val="none"/>
          <w:u w:val="none" w:color="auto"/>
          <w:shd w:val="clear" w:color="auto" w:fill="auto"/>
          <w:lang w:val="en-US" w:eastAsia="zh-CN"/>
        </w:rPr>
        <w:t>。</w:t>
      </w:r>
      <w:r>
        <w:rPr>
          <w:rFonts w:hint="eastAsia" w:ascii="仿宋_GB2312" w:hAnsi="仿宋_GB2312" w:eastAsia="仿宋_GB2312" w:cs="仿宋_GB2312"/>
          <w:strike w:val="0"/>
          <w:dstrike w:val="0"/>
          <w:color w:val="auto"/>
          <w:sz w:val="32"/>
          <w:szCs w:val="32"/>
          <w:highlight w:val="none"/>
          <w:u w:val="none" w:color="auto"/>
          <w:shd w:val="clear" w:color="auto" w:fill="auto"/>
          <w:lang w:val="en-US" w:eastAsia="zh-CN"/>
        </w:rPr>
        <w:t>规划编制部门要组织开展规划实施年度监测分析、中期评估和总结评估，强化监测评估结果应用。对新情况新问题及时分析评估，对成效未达预期的举措适时调整完善，确保各项目标任务落到实处。强化结果运用，自觉接受人大监督、审计监督和社会监督。</w:t>
      </w:r>
    </w:p>
    <w:sectPr>
      <w:footerReference r:id="rId3" w:type="default"/>
      <w:pgSz w:w="11906" w:h="16838"/>
      <w:pgMar w:top="1814" w:right="1361" w:bottom="1247" w:left="1361"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GWZT-EN"/>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GWZT-EN"/>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auto"/>
    <w:pitch w:val="default"/>
    <w:sig w:usb0="00000001" w:usb1="080E0000" w:usb2="00000000" w:usb3="00000000" w:csb0="00040000" w:csb1="00000000"/>
  </w:font>
  <w:font w:name="方正楷体简体">
    <w:altName w:val="方正楷体_GBK"/>
    <w:panose1 w:val="02000000000000000000"/>
    <w:charset w:val="86"/>
    <w:family w:val="auto"/>
    <w:pitch w:val="default"/>
    <w:sig w:usb0="00000000" w:usb1="00000000" w:usb2="00000012" w:usb3="00000000" w:csb0="00040001" w:csb1="00000000"/>
  </w:font>
  <w:font w:name="方正楷体_GBK">
    <w:panose1 w:val="02000000000000000000"/>
    <w:charset w:val="86"/>
    <w:family w:val="auto"/>
    <w:pitch w:val="default"/>
    <w:sig w:usb0="00000001" w:usb1="08000000" w:usb2="00000000" w:usb3="00000000" w:csb0="00040000" w:csb1="00000000"/>
  </w:font>
  <w:font w:name="sans-serif">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GWZT-EN">
    <w:panose1 w:val="020204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12"/>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ZkMjA1OTJmMjI5YzBlMzk0NzI5NjY2YWY5Y2MzOWUifQ=="/>
  </w:docVars>
  <w:rsids>
    <w:rsidRoot w:val="4450516D"/>
    <w:rsid w:val="001113BD"/>
    <w:rsid w:val="004C398A"/>
    <w:rsid w:val="00963E68"/>
    <w:rsid w:val="00B32AB5"/>
    <w:rsid w:val="00DE7BF6"/>
    <w:rsid w:val="00ED70CB"/>
    <w:rsid w:val="011949CD"/>
    <w:rsid w:val="01444537"/>
    <w:rsid w:val="014F03EF"/>
    <w:rsid w:val="01615C77"/>
    <w:rsid w:val="01635C49"/>
    <w:rsid w:val="01747E56"/>
    <w:rsid w:val="019B3634"/>
    <w:rsid w:val="01E50D53"/>
    <w:rsid w:val="01EA699C"/>
    <w:rsid w:val="020B56D6"/>
    <w:rsid w:val="0213141D"/>
    <w:rsid w:val="02184C85"/>
    <w:rsid w:val="026006E2"/>
    <w:rsid w:val="0261584D"/>
    <w:rsid w:val="02661A7B"/>
    <w:rsid w:val="027951DA"/>
    <w:rsid w:val="034E307D"/>
    <w:rsid w:val="03A34C59"/>
    <w:rsid w:val="03B409DD"/>
    <w:rsid w:val="03B4688D"/>
    <w:rsid w:val="03C926DB"/>
    <w:rsid w:val="03F22E17"/>
    <w:rsid w:val="0433224A"/>
    <w:rsid w:val="045B70AB"/>
    <w:rsid w:val="04C2712A"/>
    <w:rsid w:val="052460FB"/>
    <w:rsid w:val="05D610DF"/>
    <w:rsid w:val="05EC0119"/>
    <w:rsid w:val="0633208D"/>
    <w:rsid w:val="065C0283"/>
    <w:rsid w:val="06691E6B"/>
    <w:rsid w:val="068E3768"/>
    <w:rsid w:val="06AB431A"/>
    <w:rsid w:val="06D05B2E"/>
    <w:rsid w:val="06DA7698"/>
    <w:rsid w:val="07521F93"/>
    <w:rsid w:val="07926EFD"/>
    <w:rsid w:val="080812F8"/>
    <w:rsid w:val="0854278F"/>
    <w:rsid w:val="087D46B1"/>
    <w:rsid w:val="08A47C43"/>
    <w:rsid w:val="08F6275B"/>
    <w:rsid w:val="08FB74E2"/>
    <w:rsid w:val="09147FBB"/>
    <w:rsid w:val="09767549"/>
    <w:rsid w:val="098D41AA"/>
    <w:rsid w:val="09E6BC92"/>
    <w:rsid w:val="0A220243"/>
    <w:rsid w:val="0A8A06EA"/>
    <w:rsid w:val="0A984BB5"/>
    <w:rsid w:val="0AC10D82"/>
    <w:rsid w:val="0B2444CB"/>
    <w:rsid w:val="0BA8707A"/>
    <w:rsid w:val="0C405504"/>
    <w:rsid w:val="0C4F1707"/>
    <w:rsid w:val="0C547201"/>
    <w:rsid w:val="0D6945E7"/>
    <w:rsid w:val="0DA73361"/>
    <w:rsid w:val="0DE34399"/>
    <w:rsid w:val="0E275206"/>
    <w:rsid w:val="0E71409B"/>
    <w:rsid w:val="0E76345F"/>
    <w:rsid w:val="0FB7636C"/>
    <w:rsid w:val="0FD46FA8"/>
    <w:rsid w:val="0FFE86A4"/>
    <w:rsid w:val="10371181"/>
    <w:rsid w:val="10C04E65"/>
    <w:rsid w:val="10C2298C"/>
    <w:rsid w:val="10C36704"/>
    <w:rsid w:val="11116AF4"/>
    <w:rsid w:val="11763776"/>
    <w:rsid w:val="11A42091"/>
    <w:rsid w:val="125F420A"/>
    <w:rsid w:val="12AA012C"/>
    <w:rsid w:val="12AA4C63"/>
    <w:rsid w:val="12B52157"/>
    <w:rsid w:val="12E9C1D9"/>
    <w:rsid w:val="12F02E1F"/>
    <w:rsid w:val="12F170F1"/>
    <w:rsid w:val="133833D9"/>
    <w:rsid w:val="141D30AB"/>
    <w:rsid w:val="143A1B47"/>
    <w:rsid w:val="14547D16"/>
    <w:rsid w:val="146975C2"/>
    <w:rsid w:val="149A59CD"/>
    <w:rsid w:val="14D60EA1"/>
    <w:rsid w:val="15273EB1"/>
    <w:rsid w:val="154D278E"/>
    <w:rsid w:val="15605676"/>
    <w:rsid w:val="156A35F2"/>
    <w:rsid w:val="15AB2836"/>
    <w:rsid w:val="15DA0777"/>
    <w:rsid w:val="1685251C"/>
    <w:rsid w:val="16EB4DCC"/>
    <w:rsid w:val="17272FC1"/>
    <w:rsid w:val="173E28F5"/>
    <w:rsid w:val="175C045F"/>
    <w:rsid w:val="17E73FB4"/>
    <w:rsid w:val="17FFB18B"/>
    <w:rsid w:val="18245CDA"/>
    <w:rsid w:val="185A794E"/>
    <w:rsid w:val="186F19D2"/>
    <w:rsid w:val="193208CA"/>
    <w:rsid w:val="19357F7C"/>
    <w:rsid w:val="19487651"/>
    <w:rsid w:val="19D45BCD"/>
    <w:rsid w:val="1A061DF5"/>
    <w:rsid w:val="1A772A39"/>
    <w:rsid w:val="1AA11EB5"/>
    <w:rsid w:val="1B19589E"/>
    <w:rsid w:val="1B6466F9"/>
    <w:rsid w:val="1B7717CF"/>
    <w:rsid w:val="1B84200F"/>
    <w:rsid w:val="1BA17641"/>
    <w:rsid w:val="1BE71D49"/>
    <w:rsid w:val="1C7F5BD5"/>
    <w:rsid w:val="1C804068"/>
    <w:rsid w:val="1CB87339"/>
    <w:rsid w:val="1CD24F83"/>
    <w:rsid w:val="1D484219"/>
    <w:rsid w:val="1D553393"/>
    <w:rsid w:val="1D5621E1"/>
    <w:rsid w:val="1D612E67"/>
    <w:rsid w:val="1E9F7E61"/>
    <w:rsid w:val="1EC975DB"/>
    <w:rsid w:val="1ECE699F"/>
    <w:rsid w:val="1EDA17E8"/>
    <w:rsid w:val="1EE241F9"/>
    <w:rsid w:val="1F163669"/>
    <w:rsid w:val="1F3B6685"/>
    <w:rsid w:val="1F3BC756"/>
    <w:rsid w:val="1F422EEA"/>
    <w:rsid w:val="1F46729E"/>
    <w:rsid w:val="1F7F82FB"/>
    <w:rsid w:val="1FA14108"/>
    <w:rsid w:val="1FB75686"/>
    <w:rsid w:val="1FD6199E"/>
    <w:rsid w:val="1FDF7FCB"/>
    <w:rsid w:val="1FF57F5C"/>
    <w:rsid w:val="1FFF0A24"/>
    <w:rsid w:val="203D202F"/>
    <w:rsid w:val="2084063B"/>
    <w:rsid w:val="20960A29"/>
    <w:rsid w:val="2099122F"/>
    <w:rsid w:val="20D67D8D"/>
    <w:rsid w:val="20F16975"/>
    <w:rsid w:val="20F248E1"/>
    <w:rsid w:val="21115269"/>
    <w:rsid w:val="211508B6"/>
    <w:rsid w:val="216C0A52"/>
    <w:rsid w:val="2174285E"/>
    <w:rsid w:val="21A63483"/>
    <w:rsid w:val="22F63F99"/>
    <w:rsid w:val="2335479E"/>
    <w:rsid w:val="23956E7D"/>
    <w:rsid w:val="23BE0CDA"/>
    <w:rsid w:val="23EC72E2"/>
    <w:rsid w:val="24024054"/>
    <w:rsid w:val="24A03FA5"/>
    <w:rsid w:val="24FF7F40"/>
    <w:rsid w:val="260F621B"/>
    <w:rsid w:val="262F4B27"/>
    <w:rsid w:val="274F2647"/>
    <w:rsid w:val="2758774E"/>
    <w:rsid w:val="27594C76"/>
    <w:rsid w:val="277F117F"/>
    <w:rsid w:val="278B93EE"/>
    <w:rsid w:val="27EB2370"/>
    <w:rsid w:val="27FF5677"/>
    <w:rsid w:val="28081174"/>
    <w:rsid w:val="28177609"/>
    <w:rsid w:val="28806E7D"/>
    <w:rsid w:val="28885E11"/>
    <w:rsid w:val="28DA4A2C"/>
    <w:rsid w:val="290336EA"/>
    <w:rsid w:val="29763EBB"/>
    <w:rsid w:val="29A053DC"/>
    <w:rsid w:val="29CB06AB"/>
    <w:rsid w:val="29FD74ED"/>
    <w:rsid w:val="2A5319FD"/>
    <w:rsid w:val="2A855CFF"/>
    <w:rsid w:val="2AA1765E"/>
    <w:rsid w:val="2AD215C5"/>
    <w:rsid w:val="2AD40C87"/>
    <w:rsid w:val="2ADF4661"/>
    <w:rsid w:val="2ADFCCD2"/>
    <w:rsid w:val="2AF754D0"/>
    <w:rsid w:val="2B1D2F7B"/>
    <w:rsid w:val="2B7DFEDC"/>
    <w:rsid w:val="2BBAAE1E"/>
    <w:rsid w:val="2BE9306B"/>
    <w:rsid w:val="2CBF6722"/>
    <w:rsid w:val="2CE53D1B"/>
    <w:rsid w:val="2D04007C"/>
    <w:rsid w:val="2D483DC1"/>
    <w:rsid w:val="2DCF8B3A"/>
    <w:rsid w:val="2E174427"/>
    <w:rsid w:val="2E2959A0"/>
    <w:rsid w:val="2EEF637F"/>
    <w:rsid w:val="2F651176"/>
    <w:rsid w:val="2F79681A"/>
    <w:rsid w:val="2FA06136"/>
    <w:rsid w:val="2FEE50F3"/>
    <w:rsid w:val="2FFB79EE"/>
    <w:rsid w:val="30085A89"/>
    <w:rsid w:val="30CB109B"/>
    <w:rsid w:val="30FC739C"/>
    <w:rsid w:val="313F62E0"/>
    <w:rsid w:val="315D0E5F"/>
    <w:rsid w:val="3172742B"/>
    <w:rsid w:val="318D33AD"/>
    <w:rsid w:val="31AC0DC2"/>
    <w:rsid w:val="321959D6"/>
    <w:rsid w:val="32AB005D"/>
    <w:rsid w:val="32CEFF0A"/>
    <w:rsid w:val="32E93950"/>
    <w:rsid w:val="32FC4313"/>
    <w:rsid w:val="3344502A"/>
    <w:rsid w:val="33480DF9"/>
    <w:rsid w:val="3356A4EF"/>
    <w:rsid w:val="335D3142"/>
    <w:rsid w:val="33745DF2"/>
    <w:rsid w:val="337623E6"/>
    <w:rsid w:val="337E16E1"/>
    <w:rsid w:val="338F1025"/>
    <w:rsid w:val="33D6455F"/>
    <w:rsid w:val="33ED121E"/>
    <w:rsid w:val="33FE342B"/>
    <w:rsid w:val="3422536C"/>
    <w:rsid w:val="351B4D2E"/>
    <w:rsid w:val="35AF4B8A"/>
    <w:rsid w:val="35BDC350"/>
    <w:rsid w:val="35FAF5A9"/>
    <w:rsid w:val="36132D44"/>
    <w:rsid w:val="36405F7D"/>
    <w:rsid w:val="366E24FE"/>
    <w:rsid w:val="36C30B3F"/>
    <w:rsid w:val="36D765B0"/>
    <w:rsid w:val="36E83F1F"/>
    <w:rsid w:val="37372F9C"/>
    <w:rsid w:val="37464D38"/>
    <w:rsid w:val="37CA3313"/>
    <w:rsid w:val="37D366E4"/>
    <w:rsid w:val="37DF3D5D"/>
    <w:rsid w:val="37F7D345"/>
    <w:rsid w:val="37FAAED1"/>
    <w:rsid w:val="37FFE739"/>
    <w:rsid w:val="38710670"/>
    <w:rsid w:val="38C56C7E"/>
    <w:rsid w:val="396401D4"/>
    <w:rsid w:val="39B52C5F"/>
    <w:rsid w:val="39E31436"/>
    <w:rsid w:val="39FCF55E"/>
    <w:rsid w:val="39FF41FE"/>
    <w:rsid w:val="3A066377"/>
    <w:rsid w:val="3A543804"/>
    <w:rsid w:val="3A5F91D2"/>
    <w:rsid w:val="3A76168E"/>
    <w:rsid w:val="3AE710BD"/>
    <w:rsid w:val="3AFB5010"/>
    <w:rsid w:val="3AFFEA25"/>
    <w:rsid w:val="3B152E89"/>
    <w:rsid w:val="3B1F8AF9"/>
    <w:rsid w:val="3B4044A2"/>
    <w:rsid w:val="3BA743A8"/>
    <w:rsid w:val="3BAF8ACF"/>
    <w:rsid w:val="3BD340CB"/>
    <w:rsid w:val="3BE850ED"/>
    <w:rsid w:val="3BFBCE72"/>
    <w:rsid w:val="3CCB2FE8"/>
    <w:rsid w:val="3D575D2B"/>
    <w:rsid w:val="3D804EB1"/>
    <w:rsid w:val="3D9D5A63"/>
    <w:rsid w:val="3DAC6CE1"/>
    <w:rsid w:val="3DBE7477"/>
    <w:rsid w:val="3DD11F17"/>
    <w:rsid w:val="3DD6552D"/>
    <w:rsid w:val="3DE418E4"/>
    <w:rsid w:val="3DFDF74D"/>
    <w:rsid w:val="3E515A31"/>
    <w:rsid w:val="3E7ED914"/>
    <w:rsid w:val="3EB017C6"/>
    <w:rsid w:val="3EDB6DAC"/>
    <w:rsid w:val="3EE477E2"/>
    <w:rsid w:val="3EF69FEB"/>
    <w:rsid w:val="3F1A82D8"/>
    <w:rsid w:val="3F3A722D"/>
    <w:rsid w:val="3F3E2DB6"/>
    <w:rsid w:val="3F57112B"/>
    <w:rsid w:val="3F760C61"/>
    <w:rsid w:val="3F7F37F3"/>
    <w:rsid w:val="3F7F5556"/>
    <w:rsid w:val="3F7FE2E4"/>
    <w:rsid w:val="3FCE1F39"/>
    <w:rsid w:val="3FCE6192"/>
    <w:rsid w:val="3FDFD585"/>
    <w:rsid w:val="3FF408D3"/>
    <w:rsid w:val="3FF75AC8"/>
    <w:rsid w:val="3FFF60F3"/>
    <w:rsid w:val="3FFFA25E"/>
    <w:rsid w:val="40330901"/>
    <w:rsid w:val="40A62E81"/>
    <w:rsid w:val="410F6D99"/>
    <w:rsid w:val="4118339D"/>
    <w:rsid w:val="417D0228"/>
    <w:rsid w:val="418C02C8"/>
    <w:rsid w:val="41F36599"/>
    <w:rsid w:val="41FC427D"/>
    <w:rsid w:val="4239003C"/>
    <w:rsid w:val="423918F6"/>
    <w:rsid w:val="425F2D4F"/>
    <w:rsid w:val="43407F6F"/>
    <w:rsid w:val="439F7F1F"/>
    <w:rsid w:val="43CA157C"/>
    <w:rsid w:val="4450516D"/>
    <w:rsid w:val="445E5941"/>
    <w:rsid w:val="447A08AC"/>
    <w:rsid w:val="44896D41"/>
    <w:rsid w:val="44B505AD"/>
    <w:rsid w:val="44C1472D"/>
    <w:rsid w:val="453772E2"/>
    <w:rsid w:val="454B3FF6"/>
    <w:rsid w:val="45905EAD"/>
    <w:rsid w:val="45A35BE1"/>
    <w:rsid w:val="45D95AA6"/>
    <w:rsid w:val="45EA380F"/>
    <w:rsid w:val="461B1C1B"/>
    <w:rsid w:val="46B24034"/>
    <w:rsid w:val="473FB34E"/>
    <w:rsid w:val="477912EF"/>
    <w:rsid w:val="477D2139"/>
    <w:rsid w:val="47976AD9"/>
    <w:rsid w:val="479A7E5D"/>
    <w:rsid w:val="47DD724F"/>
    <w:rsid w:val="481C2771"/>
    <w:rsid w:val="48880C52"/>
    <w:rsid w:val="49706721"/>
    <w:rsid w:val="49A06D54"/>
    <w:rsid w:val="49C33158"/>
    <w:rsid w:val="4B683D9D"/>
    <w:rsid w:val="4B702988"/>
    <w:rsid w:val="4B73751D"/>
    <w:rsid w:val="4B7A5DF6"/>
    <w:rsid w:val="4BBB5CCD"/>
    <w:rsid w:val="4C213D03"/>
    <w:rsid w:val="4C540B9D"/>
    <w:rsid w:val="4CA50490"/>
    <w:rsid w:val="4CBB7CB4"/>
    <w:rsid w:val="4CDB6B31"/>
    <w:rsid w:val="4D357A66"/>
    <w:rsid w:val="4D3B0DF4"/>
    <w:rsid w:val="4E0062C6"/>
    <w:rsid w:val="4E395334"/>
    <w:rsid w:val="4E463448"/>
    <w:rsid w:val="4E693992"/>
    <w:rsid w:val="4E9FCD74"/>
    <w:rsid w:val="4EAD3594"/>
    <w:rsid w:val="4F065435"/>
    <w:rsid w:val="4F166388"/>
    <w:rsid w:val="4F403A01"/>
    <w:rsid w:val="4F443F90"/>
    <w:rsid w:val="4F7A20A8"/>
    <w:rsid w:val="4F7B22BD"/>
    <w:rsid w:val="4F8A5A0E"/>
    <w:rsid w:val="4FD9C29D"/>
    <w:rsid w:val="4FE254F5"/>
    <w:rsid w:val="4FE5EE94"/>
    <w:rsid w:val="4FF7070D"/>
    <w:rsid w:val="4FF7B3AF"/>
    <w:rsid w:val="4FFF2A34"/>
    <w:rsid w:val="4FFFFAAD"/>
    <w:rsid w:val="50C57353"/>
    <w:rsid w:val="50CF67EF"/>
    <w:rsid w:val="50E512B9"/>
    <w:rsid w:val="50E63303"/>
    <w:rsid w:val="511C5F28"/>
    <w:rsid w:val="51840FBC"/>
    <w:rsid w:val="51AC0E48"/>
    <w:rsid w:val="51EF0FF3"/>
    <w:rsid w:val="52045C59"/>
    <w:rsid w:val="5218167A"/>
    <w:rsid w:val="5237602E"/>
    <w:rsid w:val="523F1387"/>
    <w:rsid w:val="527350D1"/>
    <w:rsid w:val="52A44C1D"/>
    <w:rsid w:val="531A64FD"/>
    <w:rsid w:val="537B7924"/>
    <w:rsid w:val="539830C8"/>
    <w:rsid w:val="53B80550"/>
    <w:rsid w:val="53D468B5"/>
    <w:rsid w:val="53FBC6DC"/>
    <w:rsid w:val="546724CF"/>
    <w:rsid w:val="54735E67"/>
    <w:rsid w:val="55282C6A"/>
    <w:rsid w:val="55612F45"/>
    <w:rsid w:val="557BF81D"/>
    <w:rsid w:val="55932229"/>
    <w:rsid w:val="55AE0D23"/>
    <w:rsid w:val="55E77A4F"/>
    <w:rsid w:val="55FD7249"/>
    <w:rsid w:val="55FFB656"/>
    <w:rsid w:val="561F5757"/>
    <w:rsid w:val="5636549D"/>
    <w:rsid w:val="56521689"/>
    <w:rsid w:val="569C2904"/>
    <w:rsid w:val="56FF30CA"/>
    <w:rsid w:val="57B974B1"/>
    <w:rsid w:val="57EB677B"/>
    <w:rsid w:val="57FFB653"/>
    <w:rsid w:val="58353010"/>
    <w:rsid w:val="58CE71C3"/>
    <w:rsid w:val="598A25B8"/>
    <w:rsid w:val="59CF8EBD"/>
    <w:rsid w:val="59DE5B5F"/>
    <w:rsid w:val="59F50E08"/>
    <w:rsid w:val="59FADE87"/>
    <w:rsid w:val="5A494D86"/>
    <w:rsid w:val="5A82263D"/>
    <w:rsid w:val="5A8E2EAB"/>
    <w:rsid w:val="5AA30DE7"/>
    <w:rsid w:val="5ABDED8D"/>
    <w:rsid w:val="5AC14A52"/>
    <w:rsid w:val="5AD7215D"/>
    <w:rsid w:val="5AD77B32"/>
    <w:rsid w:val="5AE40D1D"/>
    <w:rsid w:val="5AF7E03B"/>
    <w:rsid w:val="5AFD409E"/>
    <w:rsid w:val="5B523ED9"/>
    <w:rsid w:val="5B841BB9"/>
    <w:rsid w:val="5BA26C0E"/>
    <w:rsid w:val="5BBB1A7E"/>
    <w:rsid w:val="5BBFC06E"/>
    <w:rsid w:val="5C1E5D13"/>
    <w:rsid w:val="5C2515ED"/>
    <w:rsid w:val="5CED78EA"/>
    <w:rsid w:val="5D55F519"/>
    <w:rsid w:val="5D6762F7"/>
    <w:rsid w:val="5D8A112C"/>
    <w:rsid w:val="5DAD50EF"/>
    <w:rsid w:val="5DBA625E"/>
    <w:rsid w:val="5DE71E78"/>
    <w:rsid w:val="5DFF3F06"/>
    <w:rsid w:val="5E317691"/>
    <w:rsid w:val="5E6C52B2"/>
    <w:rsid w:val="5EAF1089"/>
    <w:rsid w:val="5EBB1D95"/>
    <w:rsid w:val="5EC03299"/>
    <w:rsid w:val="5EE44E48"/>
    <w:rsid w:val="5EEF39C7"/>
    <w:rsid w:val="5EF65578"/>
    <w:rsid w:val="5EF91C93"/>
    <w:rsid w:val="5F01496B"/>
    <w:rsid w:val="5F1DBE10"/>
    <w:rsid w:val="5F1F5EAA"/>
    <w:rsid w:val="5F79A608"/>
    <w:rsid w:val="5FBC0E99"/>
    <w:rsid w:val="5FD0361E"/>
    <w:rsid w:val="5FDFD893"/>
    <w:rsid w:val="5FE3F38B"/>
    <w:rsid w:val="5FEF74BD"/>
    <w:rsid w:val="5FF5C407"/>
    <w:rsid w:val="5FF784B2"/>
    <w:rsid w:val="5FF7F209"/>
    <w:rsid w:val="5FFC235F"/>
    <w:rsid w:val="5FFE462F"/>
    <w:rsid w:val="5FFE60F4"/>
    <w:rsid w:val="5FFF8B6E"/>
    <w:rsid w:val="600B289F"/>
    <w:rsid w:val="602F3FBD"/>
    <w:rsid w:val="603242D9"/>
    <w:rsid w:val="603C0CB4"/>
    <w:rsid w:val="60912DAE"/>
    <w:rsid w:val="60966616"/>
    <w:rsid w:val="60D333C6"/>
    <w:rsid w:val="60D62EB6"/>
    <w:rsid w:val="61077514"/>
    <w:rsid w:val="61250DED"/>
    <w:rsid w:val="623123B2"/>
    <w:rsid w:val="625E3163"/>
    <w:rsid w:val="629152E7"/>
    <w:rsid w:val="62966B4B"/>
    <w:rsid w:val="630E6937"/>
    <w:rsid w:val="63621067"/>
    <w:rsid w:val="63B85697"/>
    <w:rsid w:val="63FE3E99"/>
    <w:rsid w:val="64355278"/>
    <w:rsid w:val="646C240F"/>
    <w:rsid w:val="64BB664B"/>
    <w:rsid w:val="6522491C"/>
    <w:rsid w:val="65A95C12"/>
    <w:rsid w:val="65E252B4"/>
    <w:rsid w:val="65E676F8"/>
    <w:rsid w:val="66214BD4"/>
    <w:rsid w:val="66655F7C"/>
    <w:rsid w:val="66CD5E54"/>
    <w:rsid w:val="66DB3B2E"/>
    <w:rsid w:val="66F7B2E2"/>
    <w:rsid w:val="671E1113"/>
    <w:rsid w:val="67A0789C"/>
    <w:rsid w:val="67BF33FA"/>
    <w:rsid w:val="67BF7C3A"/>
    <w:rsid w:val="67ED7463"/>
    <w:rsid w:val="67F35D6F"/>
    <w:rsid w:val="67FEC416"/>
    <w:rsid w:val="67FF1400"/>
    <w:rsid w:val="68D8720B"/>
    <w:rsid w:val="68E87C2B"/>
    <w:rsid w:val="690A3738"/>
    <w:rsid w:val="693370F8"/>
    <w:rsid w:val="69407A67"/>
    <w:rsid w:val="69715E72"/>
    <w:rsid w:val="69D44EA5"/>
    <w:rsid w:val="6A0942FC"/>
    <w:rsid w:val="6A974B17"/>
    <w:rsid w:val="6AC344AB"/>
    <w:rsid w:val="6AC63F9C"/>
    <w:rsid w:val="6B182A49"/>
    <w:rsid w:val="6B278FCE"/>
    <w:rsid w:val="6B3D15B1"/>
    <w:rsid w:val="6B6D6621"/>
    <w:rsid w:val="6B826114"/>
    <w:rsid w:val="6BDD87B0"/>
    <w:rsid w:val="6BEFDAAF"/>
    <w:rsid w:val="6BF7FE52"/>
    <w:rsid w:val="6BFB3945"/>
    <w:rsid w:val="6C3F7B62"/>
    <w:rsid w:val="6CC9480C"/>
    <w:rsid w:val="6CD429A0"/>
    <w:rsid w:val="6D1C7F5D"/>
    <w:rsid w:val="6D4C4C2C"/>
    <w:rsid w:val="6D53C02F"/>
    <w:rsid w:val="6D7763B0"/>
    <w:rsid w:val="6DAA54AF"/>
    <w:rsid w:val="6DAD31F1"/>
    <w:rsid w:val="6DB3F3D4"/>
    <w:rsid w:val="6DBF159B"/>
    <w:rsid w:val="6DC9627D"/>
    <w:rsid w:val="6DD94154"/>
    <w:rsid w:val="6DF75CD4"/>
    <w:rsid w:val="6DF82246"/>
    <w:rsid w:val="6DFB374C"/>
    <w:rsid w:val="6DFC43B5"/>
    <w:rsid w:val="6E40053B"/>
    <w:rsid w:val="6E83724D"/>
    <w:rsid w:val="6E92178E"/>
    <w:rsid w:val="6EBD02ED"/>
    <w:rsid w:val="6EBDF2E5"/>
    <w:rsid w:val="6EBE250D"/>
    <w:rsid w:val="6ED75EAE"/>
    <w:rsid w:val="6EDFF469"/>
    <w:rsid w:val="6EFF6FB9"/>
    <w:rsid w:val="6F0E268F"/>
    <w:rsid w:val="6F3D4815"/>
    <w:rsid w:val="6F4F4818"/>
    <w:rsid w:val="6F705600"/>
    <w:rsid w:val="6F712122"/>
    <w:rsid w:val="6F7AC51E"/>
    <w:rsid w:val="6F8EF8D0"/>
    <w:rsid w:val="6FB0BEA8"/>
    <w:rsid w:val="6FCE09C8"/>
    <w:rsid w:val="6FCF12DF"/>
    <w:rsid w:val="6FDF89C4"/>
    <w:rsid w:val="6FE75409"/>
    <w:rsid w:val="6FEFC4C0"/>
    <w:rsid w:val="6FF901A5"/>
    <w:rsid w:val="6FFDE442"/>
    <w:rsid w:val="706E4EB9"/>
    <w:rsid w:val="70F3716D"/>
    <w:rsid w:val="70F70B9B"/>
    <w:rsid w:val="7101188A"/>
    <w:rsid w:val="71374FAE"/>
    <w:rsid w:val="715EA774"/>
    <w:rsid w:val="71775D95"/>
    <w:rsid w:val="71AC712D"/>
    <w:rsid w:val="71DF9800"/>
    <w:rsid w:val="72361A07"/>
    <w:rsid w:val="723A2DA8"/>
    <w:rsid w:val="72541CFE"/>
    <w:rsid w:val="725F0041"/>
    <w:rsid w:val="726B9367"/>
    <w:rsid w:val="7277352B"/>
    <w:rsid w:val="72840AB3"/>
    <w:rsid w:val="728973D6"/>
    <w:rsid w:val="72D264B8"/>
    <w:rsid w:val="72D27981"/>
    <w:rsid w:val="72FE6065"/>
    <w:rsid w:val="73092C77"/>
    <w:rsid w:val="73242588"/>
    <w:rsid w:val="73540032"/>
    <w:rsid w:val="73741588"/>
    <w:rsid w:val="73B13A3B"/>
    <w:rsid w:val="73B52DFF"/>
    <w:rsid w:val="73D9089C"/>
    <w:rsid w:val="73DA1563"/>
    <w:rsid w:val="73E6F2C9"/>
    <w:rsid w:val="7420471D"/>
    <w:rsid w:val="74940676"/>
    <w:rsid w:val="74C4779E"/>
    <w:rsid w:val="74F33558"/>
    <w:rsid w:val="74FF7DD8"/>
    <w:rsid w:val="751B3B0F"/>
    <w:rsid w:val="75B23A9A"/>
    <w:rsid w:val="75F69735"/>
    <w:rsid w:val="761E78B2"/>
    <w:rsid w:val="76757EBF"/>
    <w:rsid w:val="7677E997"/>
    <w:rsid w:val="76974B9D"/>
    <w:rsid w:val="769907B6"/>
    <w:rsid w:val="76AF64AF"/>
    <w:rsid w:val="76CD220E"/>
    <w:rsid w:val="76EEBAAF"/>
    <w:rsid w:val="76FBBD51"/>
    <w:rsid w:val="776F1913"/>
    <w:rsid w:val="776FB69D"/>
    <w:rsid w:val="77A6408B"/>
    <w:rsid w:val="77BD7665"/>
    <w:rsid w:val="77E8023D"/>
    <w:rsid w:val="77F1B3EB"/>
    <w:rsid w:val="77FDED47"/>
    <w:rsid w:val="78177C66"/>
    <w:rsid w:val="78256554"/>
    <w:rsid w:val="78525EDC"/>
    <w:rsid w:val="788F4C95"/>
    <w:rsid w:val="78A70F68"/>
    <w:rsid w:val="78ED7A55"/>
    <w:rsid w:val="791D122B"/>
    <w:rsid w:val="79512B19"/>
    <w:rsid w:val="795EC868"/>
    <w:rsid w:val="79710C3A"/>
    <w:rsid w:val="79A54719"/>
    <w:rsid w:val="79EDD4D9"/>
    <w:rsid w:val="79F72DBD"/>
    <w:rsid w:val="79FD26C4"/>
    <w:rsid w:val="7A044C26"/>
    <w:rsid w:val="7AE8D065"/>
    <w:rsid w:val="7AFBFB36"/>
    <w:rsid w:val="7AFFCCE2"/>
    <w:rsid w:val="7B1D0C3A"/>
    <w:rsid w:val="7B474449"/>
    <w:rsid w:val="7B537186"/>
    <w:rsid w:val="7B6E2769"/>
    <w:rsid w:val="7B6FBF79"/>
    <w:rsid w:val="7B7272CE"/>
    <w:rsid w:val="7B79E278"/>
    <w:rsid w:val="7B84663B"/>
    <w:rsid w:val="7B99F5FA"/>
    <w:rsid w:val="7BAF8D35"/>
    <w:rsid w:val="7BD7C37D"/>
    <w:rsid w:val="7BDECEC2"/>
    <w:rsid w:val="7BDF64CE"/>
    <w:rsid w:val="7BF4A73F"/>
    <w:rsid w:val="7BF77258"/>
    <w:rsid w:val="7BFD4E4B"/>
    <w:rsid w:val="7BFF1346"/>
    <w:rsid w:val="7BFF1F01"/>
    <w:rsid w:val="7C0C2760"/>
    <w:rsid w:val="7C1728A9"/>
    <w:rsid w:val="7C4C7E73"/>
    <w:rsid w:val="7C86E86D"/>
    <w:rsid w:val="7CAF663E"/>
    <w:rsid w:val="7CB24380"/>
    <w:rsid w:val="7CB63E70"/>
    <w:rsid w:val="7CC72DC3"/>
    <w:rsid w:val="7CFBCB0F"/>
    <w:rsid w:val="7D375412"/>
    <w:rsid w:val="7D7D40F1"/>
    <w:rsid w:val="7D959C82"/>
    <w:rsid w:val="7DB7B417"/>
    <w:rsid w:val="7DBBB136"/>
    <w:rsid w:val="7DEF7C9D"/>
    <w:rsid w:val="7DF7BC27"/>
    <w:rsid w:val="7DF933CA"/>
    <w:rsid w:val="7DFA43BF"/>
    <w:rsid w:val="7DFB6C3A"/>
    <w:rsid w:val="7DFF3BFC"/>
    <w:rsid w:val="7E324B5E"/>
    <w:rsid w:val="7E5E3E96"/>
    <w:rsid w:val="7E71F675"/>
    <w:rsid w:val="7E7FAFF6"/>
    <w:rsid w:val="7EB97144"/>
    <w:rsid w:val="7EB9C851"/>
    <w:rsid w:val="7EBB7D60"/>
    <w:rsid w:val="7EBBE72F"/>
    <w:rsid w:val="7EBE19BE"/>
    <w:rsid w:val="7EBFD48A"/>
    <w:rsid w:val="7ECBA644"/>
    <w:rsid w:val="7EED4D7B"/>
    <w:rsid w:val="7EF52ADD"/>
    <w:rsid w:val="7EFEB960"/>
    <w:rsid w:val="7EFEE7D3"/>
    <w:rsid w:val="7EFF05FF"/>
    <w:rsid w:val="7EFF56B6"/>
    <w:rsid w:val="7F3BF88B"/>
    <w:rsid w:val="7F3F6D0E"/>
    <w:rsid w:val="7F3F8F8F"/>
    <w:rsid w:val="7F595D05"/>
    <w:rsid w:val="7F66F538"/>
    <w:rsid w:val="7F694F5B"/>
    <w:rsid w:val="7F750A95"/>
    <w:rsid w:val="7F7B6DB8"/>
    <w:rsid w:val="7F989E1A"/>
    <w:rsid w:val="7F9B9F0E"/>
    <w:rsid w:val="7F9F7BED"/>
    <w:rsid w:val="7FADE19E"/>
    <w:rsid w:val="7FAE76C0"/>
    <w:rsid w:val="7FAED4E0"/>
    <w:rsid w:val="7FB60F46"/>
    <w:rsid w:val="7FB78311"/>
    <w:rsid w:val="7FBBEAD9"/>
    <w:rsid w:val="7FBDCD95"/>
    <w:rsid w:val="7FBF1C63"/>
    <w:rsid w:val="7FC68D45"/>
    <w:rsid w:val="7FD548E0"/>
    <w:rsid w:val="7FD706E2"/>
    <w:rsid w:val="7FD951EB"/>
    <w:rsid w:val="7FDE4A60"/>
    <w:rsid w:val="7FDF1757"/>
    <w:rsid w:val="7FDF66F1"/>
    <w:rsid w:val="7FDF741C"/>
    <w:rsid w:val="7FDF7FD5"/>
    <w:rsid w:val="7FDFE787"/>
    <w:rsid w:val="7FE07AE8"/>
    <w:rsid w:val="7FECF8AF"/>
    <w:rsid w:val="7FEF2CB0"/>
    <w:rsid w:val="7FEF5BFD"/>
    <w:rsid w:val="7FF56465"/>
    <w:rsid w:val="7FF9C7BF"/>
    <w:rsid w:val="7FFA32E7"/>
    <w:rsid w:val="7FFB6308"/>
    <w:rsid w:val="7FFB9B00"/>
    <w:rsid w:val="7FFBA8C7"/>
    <w:rsid w:val="7FFDAD53"/>
    <w:rsid w:val="7FFEB877"/>
    <w:rsid w:val="7FFF16F6"/>
    <w:rsid w:val="7FFF28E2"/>
    <w:rsid w:val="7FFF4883"/>
    <w:rsid w:val="7FFF4B64"/>
    <w:rsid w:val="7FFFA508"/>
    <w:rsid w:val="7FFFF25A"/>
    <w:rsid w:val="8EEF32D6"/>
    <w:rsid w:val="8F47EC46"/>
    <w:rsid w:val="8F7FAF0E"/>
    <w:rsid w:val="8FBF3960"/>
    <w:rsid w:val="8FFFB205"/>
    <w:rsid w:val="945FCF26"/>
    <w:rsid w:val="99FF7A2B"/>
    <w:rsid w:val="9B7F07C4"/>
    <w:rsid w:val="9D2E9783"/>
    <w:rsid w:val="9FAEDD22"/>
    <w:rsid w:val="9FBFCE3F"/>
    <w:rsid w:val="9FE759BD"/>
    <w:rsid w:val="9FED1D1D"/>
    <w:rsid w:val="9FED9CF1"/>
    <w:rsid w:val="9FF9C53F"/>
    <w:rsid w:val="9FFDB302"/>
    <w:rsid w:val="9FFDE726"/>
    <w:rsid w:val="A12E3D45"/>
    <w:rsid w:val="A7DB6720"/>
    <w:rsid w:val="A7EF301F"/>
    <w:rsid w:val="A7F539AB"/>
    <w:rsid w:val="A8DF1019"/>
    <w:rsid w:val="AB4F39E4"/>
    <w:rsid w:val="AB788887"/>
    <w:rsid w:val="ABFEBB73"/>
    <w:rsid w:val="ADFFB4EE"/>
    <w:rsid w:val="AECDFFA7"/>
    <w:rsid w:val="AFB25672"/>
    <w:rsid w:val="AFFAB0B6"/>
    <w:rsid w:val="AFFF491C"/>
    <w:rsid w:val="AFFF5B02"/>
    <w:rsid w:val="B1BCC4EB"/>
    <w:rsid w:val="B33DC7D6"/>
    <w:rsid w:val="B36EC415"/>
    <w:rsid w:val="B3B3DE13"/>
    <w:rsid w:val="B51FAD80"/>
    <w:rsid w:val="B61BA9B1"/>
    <w:rsid w:val="B6BF5AEC"/>
    <w:rsid w:val="B6FBF7BF"/>
    <w:rsid w:val="B77EDB01"/>
    <w:rsid w:val="B8DFDA0C"/>
    <w:rsid w:val="BAFE7688"/>
    <w:rsid w:val="BB3384A2"/>
    <w:rsid w:val="BBBB0024"/>
    <w:rsid w:val="BBDB848F"/>
    <w:rsid w:val="BC6E2CE9"/>
    <w:rsid w:val="BCEA39AA"/>
    <w:rsid w:val="BD77D82A"/>
    <w:rsid w:val="BD79C6EC"/>
    <w:rsid w:val="BDDC7A9B"/>
    <w:rsid w:val="BDFF1ACB"/>
    <w:rsid w:val="BDFFBDF9"/>
    <w:rsid w:val="BDFFC1FF"/>
    <w:rsid w:val="BDFFEB89"/>
    <w:rsid w:val="BE673885"/>
    <w:rsid w:val="BE77C3A1"/>
    <w:rsid w:val="BEB7B228"/>
    <w:rsid w:val="BEDF7DE0"/>
    <w:rsid w:val="BEF962C6"/>
    <w:rsid w:val="BF7C9B3A"/>
    <w:rsid w:val="BF7E4778"/>
    <w:rsid w:val="BF7FC3F3"/>
    <w:rsid w:val="BFD290BF"/>
    <w:rsid w:val="BFDEB96E"/>
    <w:rsid w:val="BFDF24CF"/>
    <w:rsid w:val="BFFB29AD"/>
    <w:rsid w:val="BFFDC107"/>
    <w:rsid w:val="BFFE09EE"/>
    <w:rsid w:val="BFFE4DC8"/>
    <w:rsid w:val="BFFEFA80"/>
    <w:rsid w:val="C2CE9821"/>
    <w:rsid w:val="C56FC6B3"/>
    <w:rsid w:val="C7EFD66A"/>
    <w:rsid w:val="C7FF1A83"/>
    <w:rsid w:val="CCFEAD50"/>
    <w:rsid w:val="CD5E8D5B"/>
    <w:rsid w:val="CD9BACBA"/>
    <w:rsid w:val="CEFB21BD"/>
    <w:rsid w:val="CF7F939D"/>
    <w:rsid w:val="CFBFB3D8"/>
    <w:rsid w:val="CFCB34A4"/>
    <w:rsid w:val="CFE31B48"/>
    <w:rsid w:val="CFF831A2"/>
    <w:rsid w:val="CFF8B997"/>
    <w:rsid w:val="D1FF97B1"/>
    <w:rsid w:val="D6EB6C9B"/>
    <w:rsid w:val="D75E99CC"/>
    <w:rsid w:val="D79F926C"/>
    <w:rsid w:val="D7B5D291"/>
    <w:rsid w:val="D7BF2968"/>
    <w:rsid w:val="D7BFDAC7"/>
    <w:rsid w:val="D7FF32AE"/>
    <w:rsid w:val="D91BC4B3"/>
    <w:rsid w:val="DA6F23B7"/>
    <w:rsid w:val="DB575C40"/>
    <w:rsid w:val="DB679231"/>
    <w:rsid w:val="DBBF56E7"/>
    <w:rsid w:val="DBE4BF7A"/>
    <w:rsid w:val="DBEDA766"/>
    <w:rsid w:val="DC3713CA"/>
    <w:rsid w:val="DCE72DA9"/>
    <w:rsid w:val="DD3D6D0D"/>
    <w:rsid w:val="DD5C63DB"/>
    <w:rsid w:val="DD6FD5CE"/>
    <w:rsid w:val="DD7E90BE"/>
    <w:rsid w:val="DDBE23EF"/>
    <w:rsid w:val="DDFFE243"/>
    <w:rsid w:val="DEBB1652"/>
    <w:rsid w:val="DEBDCF9B"/>
    <w:rsid w:val="DEE59AD3"/>
    <w:rsid w:val="DF436E17"/>
    <w:rsid w:val="DF5F04CB"/>
    <w:rsid w:val="DF771C23"/>
    <w:rsid w:val="DF9FC566"/>
    <w:rsid w:val="DFDDE6E5"/>
    <w:rsid w:val="DFDF0B38"/>
    <w:rsid w:val="DFED380C"/>
    <w:rsid w:val="DFEFCED4"/>
    <w:rsid w:val="DFF717AD"/>
    <w:rsid w:val="DFFDAA8D"/>
    <w:rsid w:val="DFFF3AD6"/>
    <w:rsid w:val="DFFF92BE"/>
    <w:rsid w:val="E1C95F04"/>
    <w:rsid w:val="E1D3307F"/>
    <w:rsid w:val="E5C75667"/>
    <w:rsid w:val="E5E197C1"/>
    <w:rsid w:val="E7E6517C"/>
    <w:rsid w:val="E9EF5735"/>
    <w:rsid w:val="EA8EA629"/>
    <w:rsid w:val="EAEE6379"/>
    <w:rsid w:val="EAFDF9E0"/>
    <w:rsid w:val="EBF7B3E7"/>
    <w:rsid w:val="ECCFA418"/>
    <w:rsid w:val="ED7D96CC"/>
    <w:rsid w:val="EDF31CD6"/>
    <w:rsid w:val="EDFB4F48"/>
    <w:rsid w:val="EE7E1ED1"/>
    <w:rsid w:val="EEED2B73"/>
    <w:rsid w:val="EEFF08A8"/>
    <w:rsid w:val="EEFF6509"/>
    <w:rsid w:val="EF56261E"/>
    <w:rsid w:val="EF67D7D9"/>
    <w:rsid w:val="EF73AF28"/>
    <w:rsid w:val="EF770E6F"/>
    <w:rsid w:val="EF7D1BA6"/>
    <w:rsid w:val="EFA67ABE"/>
    <w:rsid w:val="EFAEBC0D"/>
    <w:rsid w:val="EFAFEECC"/>
    <w:rsid w:val="EFBF88E3"/>
    <w:rsid w:val="EFD505B2"/>
    <w:rsid w:val="F07D01D9"/>
    <w:rsid w:val="F17F5C54"/>
    <w:rsid w:val="F1D2F2CB"/>
    <w:rsid w:val="F1F9026B"/>
    <w:rsid w:val="F1FD1284"/>
    <w:rsid w:val="F255792E"/>
    <w:rsid w:val="F37FDA0E"/>
    <w:rsid w:val="F3DA03CC"/>
    <w:rsid w:val="F3E70C85"/>
    <w:rsid w:val="F3EB699D"/>
    <w:rsid w:val="F3FB90F1"/>
    <w:rsid w:val="F4EF292C"/>
    <w:rsid w:val="F59A7DAD"/>
    <w:rsid w:val="F5BF6AD7"/>
    <w:rsid w:val="F67BE75F"/>
    <w:rsid w:val="F731DB5C"/>
    <w:rsid w:val="F73B0BC0"/>
    <w:rsid w:val="F75F43BB"/>
    <w:rsid w:val="F7777131"/>
    <w:rsid w:val="F77D57FD"/>
    <w:rsid w:val="F77EB072"/>
    <w:rsid w:val="F7DCEF60"/>
    <w:rsid w:val="F7F12586"/>
    <w:rsid w:val="F7F7C3A3"/>
    <w:rsid w:val="F7FD9862"/>
    <w:rsid w:val="F84F0A78"/>
    <w:rsid w:val="F9701978"/>
    <w:rsid w:val="F9FDC58B"/>
    <w:rsid w:val="FABD109D"/>
    <w:rsid w:val="FAF5EB92"/>
    <w:rsid w:val="FB7F775F"/>
    <w:rsid w:val="FBAB3FEC"/>
    <w:rsid w:val="FBAF2BF9"/>
    <w:rsid w:val="FBBE01FA"/>
    <w:rsid w:val="FBD774E3"/>
    <w:rsid w:val="FBFF18F5"/>
    <w:rsid w:val="FBFF318D"/>
    <w:rsid w:val="FBFF8851"/>
    <w:rsid w:val="FCCAFC44"/>
    <w:rsid w:val="FCDBF8C4"/>
    <w:rsid w:val="FCFBFA5B"/>
    <w:rsid w:val="FD6FCBA6"/>
    <w:rsid w:val="FDBDCA23"/>
    <w:rsid w:val="FDBF1AAA"/>
    <w:rsid w:val="FDBF4C78"/>
    <w:rsid w:val="FDC4AB65"/>
    <w:rsid w:val="FDCBFC49"/>
    <w:rsid w:val="FDECA53F"/>
    <w:rsid w:val="FDF7F8E9"/>
    <w:rsid w:val="FDF90209"/>
    <w:rsid w:val="FE6C1B11"/>
    <w:rsid w:val="FE768508"/>
    <w:rsid w:val="FE973D6F"/>
    <w:rsid w:val="FECB3798"/>
    <w:rsid w:val="FEDE7D1E"/>
    <w:rsid w:val="FEDEDD7C"/>
    <w:rsid w:val="FEF661CB"/>
    <w:rsid w:val="FEFAF36F"/>
    <w:rsid w:val="FEFD3006"/>
    <w:rsid w:val="FEFF3565"/>
    <w:rsid w:val="FEFFAF63"/>
    <w:rsid w:val="FF0659E1"/>
    <w:rsid w:val="FF1F6EC8"/>
    <w:rsid w:val="FF3BEDA0"/>
    <w:rsid w:val="FF3F7150"/>
    <w:rsid w:val="FF4E74EB"/>
    <w:rsid w:val="FF58ADA0"/>
    <w:rsid w:val="FF5BE75A"/>
    <w:rsid w:val="FF63A6F3"/>
    <w:rsid w:val="FF6D0006"/>
    <w:rsid w:val="FF6E868E"/>
    <w:rsid w:val="FF7940C7"/>
    <w:rsid w:val="FF7A073B"/>
    <w:rsid w:val="FF7A4832"/>
    <w:rsid w:val="FF7BFD79"/>
    <w:rsid w:val="FF7F3676"/>
    <w:rsid w:val="FF7F3D14"/>
    <w:rsid w:val="FF7FAA17"/>
    <w:rsid w:val="FF9C3CB5"/>
    <w:rsid w:val="FFA533D0"/>
    <w:rsid w:val="FFAE4A63"/>
    <w:rsid w:val="FFAF84A4"/>
    <w:rsid w:val="FFB3BA6F"/>
    <w:rsid w:val="FFBFA86D"/>
    <w:rsid w:val="FFC74C6F"/>
    <w:rsid w:val="FFCFB756"/>
    <w:rsid w:val="FFDC4F60"/>
    <w:rsid w:val="FFDC5DFB"/>
    <w:rsid w:val="FFDF457B"/>
    <w:rsid w:val="FFDFDDB1"/>
    <w:rsid w:val="FFED6DE4"/>
    <w:rsid w:val="FFF3C699"/>
    <w:rsid w:val="FFF79D01"/>
    <w:rsid w:val="FFFB6F96"/>
    <w:rsid w:val="FFFBF894"/>
    <w:rsid w:val="FFFDB5C6"/>
    <w:rsid w:val="FFFE4FC6"/>
    <w:rsid w:val="FFFF4EBB"/>
    <w:rsid w:val="FFFF992E"/>
    <w:rsid w:val="FFFFBED2"/>
    <w:rsid w:val="FFFFC17E"/>
    <w:rsid w:val="FFFFC5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center"/>
      <w:outlineLvl w:val="0"/>
    </w:pPr>
    <w:rPr>
      <w:rFonts w:eastAsia="方正小标宋简体" w:asciiTheme="minorAscii" w:hAnsiTheme="minorAscii"/>
      <w:kern w:val="44"/>
      <w:sz w:val="36"/>
    </w:rPr>
  </w:style>
  <w:style w:type="paragraph" w:styleId="3">
    <w:name w:val="heading 2"/>
    <w:basedOn w:val="1"/>
    <w:next w:val="1"/>
    <w:link w:val="29"/>
    <w:unhideWhenUsed/>
    <w:qFormat/>
    <w:uiPriority w:val="0"/>
    <w:pPr>
      <w:keepNext/>
      <w:keepLines/>
      <w:spacing w:before="260" w:beforeLines="0" w:beforeAutospacing="0" w:after="260" w:afterLines="0" w:afterAutospacing="0" w:line="413" w:lineRule="auto"/>
      <w:jc w:val="center"/>
      <w:outlineLvl w:val="1"/>
    </w:pPr>
    <w:rPr>
      <w:rFonts w:ascii="Arial" w:hAnsi="Arial" w:eastAsia="黑体"/>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jc w:val="center"/>
      <w:outlineLvl w:val="2"/>
    </w:pPr>
    <w:rPr>
      <w:rFonts w:eastAsia="楷体_GB2312" w:asciiTheme="minorAscii" w:hAnsiTheme="minorAscii"/>
      <w:b/>
      <w:sz w:val="32"/>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firstLineChars="200"/>
    </w:pPr>
  </w:style>
  <w:style w:type="paragraph" w:styleId="6">
    <w:name w:val="annotation text"/>
    <w:basedOn w:val="1"/>
    <w:qFormat/>
    <w:uiPriority w:val="0"/>
    <w:pPr>
      <w:jc w:val="left"/>
    </w:pPr>
  </w:style>
  <w:style w:type="paragraph" w:styleId="7">
    <w:name w:val="Salutation"/>
    <w:basedOn w:val="1"/>
    <w:next w:val="1"/>
    <w:qFormat/>
    <w:uiPriority w:val="0"/>
  </w:style>
  <w:style w:type="paragraph" w:styleId="8">
    <w:name w:val="Body Text"/>
    <w:basedOn w:val="1"/>
    <w:unhideWhenUsed/>
    <w:qFormat/>
    <w:uiPriority w:val="99"/>
    <w:pPr>
      <w:spacing w:after="120"/>
    </w:pPr>
  </w:style>
  <w:style w:type="paragraph" w:styleId="9">
    <w:name w:val="Body Text Indent"/>
    <w:basedOn w:val="1"/>
    <w:next w:val="5"/>
    <w:qFormat/>
    <w:uiPriority w:val="99"/>
    <w:pPr>
      <w:spacing w:line="300" w:lineRule="auto"/>
      <w:ind w:firstLine="200"/>
    </w:pPr>
    <w:rPr>
      <w:sz w:val="28"/>
      <w:szCs w:val="28"/>
    </w:rPr>
  </w:style>
  <w:style w:type="paragraph" w:styleId="10">
    <w:name w:val="Block Text"/>
    <w:basedOn w:val="1"/>
    <w:unhideWhenUsed/>
    <w:qFormat/>
    <w:uiPriority w:val="99"/>
  </w:style>
  <w:style w:type="paragraph" w:styleId="11">
    <w:name w:val="toc 3"/>
    <w:basedOn w:val="1"/>
    <w:next w:val="1"/>
    <w:qFormat/>
    <w:uiPriority w:val="0"/>
    <w:pPr>
      <w:ind w:left="840" w:leftChars="400"/>
    </w:pPr>
    <w:rPr>
      <w:rFonts w:eastAsia="楷体_GB2312" w:asciiTheme="minorAscii" w:hAnsiTheme="minorAscii"/>
      <w:sz w:val="28"/>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qFormat/>
    <w:uiPriority w:val="0"/>
    <w:pPr>
      <w:spacing w:line="360" w:lineRule="auto"/>
      <w:jc w:val="left"/>
    </w:pPr>
    <w:rPr>
      <w:rFonts w:eastAsia="方正小标宋简体" w:asciiTheme="minorAscii" w:hAnsiTheme="minorAscii"/>
      <w:sz w:val="28"/>
    </w:rPr>
  </w:style>
  <w:style w:type="paragraph" w:styleId="15">
    <w:name w:val="footnote text"/>
    <w:basedOn w:val="1"/>
    <w:qFormat/>
    <w:uiPriority w:val="0"/>
    <w:pPr>
      <w:snapToGrid w:val="0"/>
      <w:jc w:val="left"/>
    </w:pPr>
    <w:rPr>
      <w:sz w:val="18"/>
      <w:szCs w:val="18"/>
    </w:rPr>
  </w:style>
  <w:style w:type="paragraph" w:styleId="16">
    <w:name w:val="toc 2"/>
    <w:basedOn w:val="1"/>
    <w:next w:val="1"/>
    <w:qFormat/>
    <w:uiPriority w:val="0"/>
    <w:pPr>
      <w:ind w:left="420" w:leftChars="200"/>
      <w:jc w:val="left"/>
    </w:pPr>
    <w:rPr>
      <w:rFonts w:eastAsia="黑体" w:asciiTheme="minorAscii" w:hAnsiTheme="minorAscii"/>
      <w:sz w:val="28"/>
    </w:rPr>
  </w:style>
  <w:style w:type="paragraph" w:styleId="1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8">
    <w:name w:val="Title"/>
    <w:basedOn w:val="1"/>
    <w:next w:val="1"/>
    <w:qFormat/>
    <w:uiPriority w:val="0"/>
    <w:pPr>
      <w:spacing w:before="120" w:beforeLines="0" w:after="120" w:afterLines="0"/>
      <w:ind w:firstLine="0" w:firstLineChars="0"/>
      <w:jc w:val="center"/>
      <w:outlineLvl w:val="0"/>
    </w:pPr>
    <w:rPr>
      <w:rFonts w:ascii="Cambria" w:hAnsi="Cambria" w:eastAsia="宋体" w:cs="Times New Roman"/>
      <w:b/>
      <w:bCs/>
      <w:sz w:val="44"/>
      <w:szCs w:val="32"/>
    </w:rPr>
  </w:style>
  <w:style w:type="paragraph" w:styleId="19">
    <w:name w:val="Body Text First Indent 2"/>
    <w:basedOn w:val="9"/>
    <w:next w:val="1"/>
    <w:qFormat/>
    <w:uiPriority w:val="99"/>
    <w:pPr>
      <w:ind w:firstLine="420" w:firstLineChars="200"/>
    </w:p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rFonts w:cs="Times New Roman"/>
      <w:b/>
      <w:bCs/>
    </w:rPr>
  </w:style>
  <w:style w:type="character" w:styleId="24">
    <w:name w:val="Emphasis"/>
    <w:basedOn w:val="22"/>
    <w:qFormat/>
    <w:uiPriority w:val="0"/>
    <w:rPr>
      <w:i/>
    </w:rPr>
  </w:style>
  <w:style w:type="paragraph" w:customStyle="1" w:styleId="25">
    <w:name w:val="Body Text First Indent 2"/>
    <w:basedOn w:val="26"/>
    <w:link w:val="28"/>
    <w:qFormat/>
    <w:uiPriority w:val="0"/>
    <w:pPr>
      <w:spacing w:line="360" w:lineRule="auto"/>
    </w:pPr>
    <w:rPr>
      <w:rFonts w:eastAsia="宋体"/>
      <w:sz w:val="24"/>
    </w:rPr>
  </w:style>
  <w:style w:type="paragraph" w:customStyle="1" w:styleId="26">
    <w:name w:val="Body Text Indent"/>
    <w:basedOn w:val="1"/>
    <w:qFormat/>
    <w:uiPriority w:val="0"/>
    <w:pPr>
      <w:spacing w:line="150" w:lineRule="atLeast"/>
      <w:ind w:firstLine="420" w:firstLineChars="200"/>
      <w:textAlignment w:val="baseline"/>
    </w:pPr>
    <w:rPr>
      <w:rFonts w:ascii="Times New Roman" w:hAnsi="Times New Roman" w:cs="Times New Roman"/>
      <w:szCs w:val="24"/>
      <w:lang w:bidi="ar-SA"/>
    </w:rPr>
  </w:style>
  <w:style w:type="paragraph" w:customStyle="1" w:styleId="27">
    <w:name w:val="正文 New New New New New New New New New New New New New"/>
    <w:qFormat/>
    <w:uiPriority w:val="0"/>
    <w:pPr>
      <w:widowControl w:val="0"/>
      <w:jc w:val="both"/>
    </w:pPr>
    <w:rPr>
      <w:rFonts w:ascii="Calibri" w:hAnsi="Calibri" w:eastAsia="宋体" w:cstheme="minorBidi"/>
      <w:kern w:val="2"/>
      <w:sz w:val="21"/>
      <w:szCs w:val="22"/>
      <w:lang w:val="en-US" w:eastAsia="zh-CN" w:bidi="ar-SA"/>
    </w:rPr>
  </w:style>
  <w:style w:type="character" w:customStyle="1" w:styleId="28">
    <w:name w:val="Body Text First Indent 2 Char"/>
    <w:link w:val="25"/>
    <w:qFormat/>
    <w:uiPriority w:val="0"/>
    <w:rPr>
      <w:rFonts w:eastAsia="宋体"/>
      <w:sz w:val="24"/>
    </w:rPr>
  </w:style>
  <w:style w:type="character" w:customStyle="1" w:styleId="29">
    <w:name w:val="标题 2 Char"/>
    <w:link w:val="3"/>
    <w:qFormat/>
    <w:uiPriority w:val="0"/>
    <w:rPr>
      <w:rFonts w:ascii="Arial" w:hAnsi="Arial" w:eastAsia="黑体"/>
      <w:sz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92</Pages>
  <Words>4471</Words>
  <Characters>4722</Characters>
  <Lines>0</Lines>
  <Paragraphs>0</Paragraphs>
  <TotalTime>32</TotalTime>
  <ScaleCrop>false</ScaleCrop>
  <LinksUpToDate>false</LinksUpToDate>
  <CharactersWithSpaces>5006</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2025-01-01T17:18:00Z</dcterms:created>
  <dc:creator>璞</dc:creator>
  <cp:lastModifiedBy>Gxkj-123</cp:lastModifiedBy>
  <cp:lastPrinted>2026-07-18T02:08:00Z</cp:lastPrinted>
  <dcterms:modified xsi:type="dcterms:W3CDTF">2026-08-06T08:51:33Z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D9775F3D87C7D6692FFD556A4B889998_43</vt:lpwstr>
  </property>
  <property fmtid="{D5CDD505-2E9C-101B-9397-08002B2CF9AE}" pid="4" name="KSOTemplateDocerSaveRecord">
    <vt:lpwstr>eyJoZGlkIjoiOTE1OTA5ZjBhNzhhNzQ5MWNkMGIxZmUwNWVjOGI1OTciLCJ1c2VySWQiOiIzMjQ1ODU2NTcifQ==</vt:lpwstr>
  </property>
</Properties>
</file>