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EB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560" w:lineRule="exact"/>
        <w:jc w:val="center"/>
        <w:textAlignment w:val="auto"/>
        <w:rPr>
          <w:rFonts w:ascii="方正小标宋简体" w:hAnsi="宋体" w:eastAsia="方正小标宋简体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关于庄河市202</w:t>
      </w: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年预算执行情况</w:t>
      </w:r>
    </w:p>
    <w:p w14:paraId="60D1F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和202</w:t>
      </w: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年预算草案的书面报告</w:t>
      </w:r>
    </w:p>
    <w:p w14:paraId="29D92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宋体"/>
          <w:color w:val="000000" w:themeColor="text1"/>
          <w:kern w:val="0"/>
          <w:highlight w:val="none"/>
          <w14:textFill>
            <w14:solidFill>
              <w14:schemeClr w14:val="tx1"/>
            </w14:solidFill>
          </w14:textFill>
        </w:rPr>
      </w:pPr>
    </w:p>
    <w:p w14:paraId="2EE26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 w:eastAsia="宋体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—— 202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年12月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日在庄河市第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届人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民代表大会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次会议上</w:t>
      </w:r>
    </w:p>
    <w:p w14:paraId="5CE3D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C9E0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楷体" w:hAnsi="楷体" w:eastAsia="楷体" w:cs="楷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庄河市财政局</w:t>
      </w:r>
    </w:p>
    <w:p w14:paraId="11771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7C7F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各位代表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2644E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3" w:firstLineChars="197"/>
        <w:textAlignment w:val="auto"/>
        <w:rPr>
          <w:rFonts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受市政府委托，现将我</w:t>
      </w:r>
      <w:r>
        <w:rPr>
          <w:rFonts w:hint="eastAsia" w:ascii="仿宋_GB2312"/>
          <w:color w:val="000000" w:themeColor="text1"/>
          <w:spacing w:val="-2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年预算执行情况（由于本报告时间早于财政决算日，收支数字均为预计数）和202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年预算草案提请本次会议审议，并请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各位代表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提出意见。</w:t>
      </w:r>
    </w:p>
    <w:p w14:paraId="346E65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23" w:firstLineChars="197"/>
        <w:textAlignment w:val="auto"/>
        <w:rPr>
          <w:rFonts w:ascii="黑体" w:hAnsi="黑体" w:eastAsia="黑体" w:cs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一、202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年预算执行情况</w:t>
      </w:r>
    </w:p>
    <w:p w14:paraId="746FC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23" w:firstLineChars="197"/>
        <w:textAlignment w:val="auto"/>
        <w:rPr>
          <w:rFonts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我市预算执行情况如下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详见附表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001B8E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465" w:firstLineChars="147"/>
        <w:textAlignment w:val="auto"/>
        <w:rPr>
          <w:rFonts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（一）一般公共预算执行情况</w:t>
      </w:r>
    </w:p>
    <w:p w14:paraId="21B468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ascii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全市执行情况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全市一般公共预算</w:t>
      </w:r>
      <w:r>
        <w:rPr>
          <w:rFonts w:hint="eastAsia" w:ascii="仿宋_GB2312"/>
          <w:sz w:val="32"/>
          <w:szCs w:val="32"/>
          <w:highlight w:val="none"/>
        </w:rPr>
        <w:t>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560,000</w:t>
      </w:r>
      <w:r>
        <w:rPr>
          <w:rFonts w:hint="eastAsia" w:ascii="仿宋_GB2312"/>
          <w:sz w:val="32"/>
          <w:szCs w:val="32"/>
          <w:highlight w:val="none"/>
        </w:rPr>
        <w:t>万元，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增长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（收支增减均比上年实际）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1%。</w:t>
      </w:r>
      <w:r>
        <w:rPr>
          <w:rFonts w:hint="eastAsia" w:ascii="仿宋_GB2312"/>
          <w:sz w:val="32"/>
          <w:szCs w:val="32"/>
          <w:highlight w:val="none"/>
        </w:rPr>
        <w:t>其中：税收收入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216,489</w:t>
      </w:r>
      <w:r>
        <w:rPr>
          <w:rFonts w:hint="eastAsia" w:ascii="仿宋_GB2312"/>
          <w:sz w:val="32"/>
          <w:szCs w:val="32"/>
          <w:highlight w:val="none"/>
        </w:rPr>
        <w:t>万元；非税收入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343,511</w:t>
      </w:r>
      <w:r>
        <w:rPr>
          <w:rFonts w:hint="eastAsia" w:ascii="仿宋_GB2312"/>
          <w:sz w:val="32"/>
          <w:szCs w:val="32"/>
          <w:highlight w:val="none"/>
        </w:rPr>
        <w:t>万元</w:t>
      </w:r>
      <w:r>
        <w:rPr>
          <w:rFonts w:hint="eastAsia" w:ascii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/>
          <w:sz w:val="32"/>
          <w:szCs w:val="32"/>
          <w:highlight w:val="none"/>
        </w:rPr>
        <w:t>完成的这些收入，加上上级转移支付收入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316,538</w:t>
      </w:r>
      <w:r>
        <w:rPr>
          <w:rFonts w:hint="eastAsia" w:ascii="仿宋_GB2312"/>
          <w:sz w:val="32"/>
          <w:szCs w:val="32"/>
          <w:highlight w:val="none"/>
        </w:rPr>
        <w:t>万元、动用预算稳定调节基金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210,000</w:t>
      </w:r>
      <w:r>
        <w:rPr>
          <w:rFonts w:hint="eastAsia" w:ascii="仿宋_GB2312"/>
          <w:sz w:val="32"/>
          <w:szCs w:val="32"/>
          <w:highlight w:val="none"/>
        </w:rPr>
        <w:t>万元、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从</w:t>
      </w:r>
      <w:r>
        <w:rPr>
          <w:rFonts w:hint="eastAsia" w:ascii="仿宋_GB2312"/>
          <w:sz w:val="32"/>
          <w:szCs w:val="32"/>
          <w:highlight w:val="none"/>
        </w:rPr>
        <w:t>国有资本经营预算调入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403</w:t>
      </w:r>
      <w:r>
        <w:rPr>
          <w:rFonts w:hint="eastAsia" w:ascii="仿宋_GB2312"/>
          <w:sz w:val="32"/>
          <w:szCs w:val="32"/>
          <w:highlight w:val="none"/>
        </w:rPr>
        <w:t>万元、地方政府一般债务转贷收入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126,625</w:t>
      </w:r>
      <w:r>
        <w:rPr>
          <w:rFonts w:hint="eastAsia" w:ascii="仿宋_GB2312"/>
          <w:sz w:val="32"/>
          <w:szCs w:val="32"/>
          <w:highlight w:val="none"/>
        </w:rPr>
        <w:t>万元、上年结转收入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287,441</w:t>
      </w:r>
      <w:r>
        <w:rPr>
          <w:rFonts w:hint="eastAsia" w:ascii="仿宋_GB2312"/>
          <w:sz w:val="32"/>
          <w:szCs w:val="32"/>
          <w:highlight w:val="none"/>
        </w:rPr>
        <w:t>万元，全市一般公共预算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/>
          <w:sz w:val="32"/>
          <w:szCs w:val="32"/>
          <w:highlight w:val="none"/>
        </w:rPr>
        <w:t>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1,501,007</w:t>
      </w:r>
      <w:r>
        <w:rPr>
          <w:rFonts w:hint="eastAsia" w:ascii="仿宋_GB2312"/>
          <w:sz w:val="32"/>
          <w:szCs w:val="32"/>
          <w:highlight w:val="none"/>
        </w:rPr>
        <w:t>万元；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全市</w:t>
      </w:r>
      <w:r>
        <w:rPr>
          <w:rFonts w:hint="eastAsia" w:ascii="仿宋_GB2312"/>
          <w:sz w:val="32"/>
          <w:szCs w:val="32"/>
          <w:highlight w:val="none"/>
        </w:rPr>
        <w:t>一般公共预算支出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914,904</w:t>
      </w:r>
      <w:r>
        <w:rPr>
          <w:rFonts w:hint="eastAsia" w:ascii="仿宋_GB2312"/>
          <w:sz w:val="32"/>
          <w:szCs w:val="32"/>
          <w:highlight w:val="none"/>
        </w:rPr>
        <w:t>万元，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下降4%</w:t>
      </w:r>
      <w:r>
        <w:rPr>
          <w:rFonts w:hint="eastAsia" w:ascii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/>
          <w:sz w:val="32"/>
          <w:szCs w:val="32"/>
          <w:highlight w:val="none"/>
        </w:rPr>
        <w:t>加上上解上级支出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65,000</w:t>
      </w:r>
      <w:r>
        <w:rPr>
          <w:rFonts w:hint="eastAsia" w:ascii="仿宋_GB2312"/>
          <w:sz w:val="32"/>
          <w:szCs w:val="32"/>
          <w:highlight w:val="none"/>
        </w:rPr>
        <w:t>万元、安排预算稳定调节基金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49,145</w:t>
      </w:r>
      <w:r>
        <w:rPr>
          <w:rFonts w:hint="eastAsia" w:ascii="仿宋_GB2312"/>
          <w:sz w:val="32"/>
          <w:szCs w:val="32"/>
          <w:highlight w:val="none"/>
        </w:rPr>
        <w:t>万元、地方政府一般债务还本支出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126,625</w:t>
      </w:r>
      <w:r>
        <w:rPr>
          <w:rFonts w:hint="eastAsia" w:ascii="仿宋_GB2312"/>
          <w:sz w:val="32"/>
          <w:szCs w:val="32"/>
          <w:highlight w:val="none"/>
        </w:rPr>
        <w:t>万元、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调出资金57,000万元、</w:t>
      </w:r>
      <w:r>
        <w:rPr>
          <w:rFonts w:hint="eastAsia" w:ascii="仿宋_GB2312"/>
          <w:sz w:val="32"/>
          <w:szCs w:val="32"/>
          <w:highlight w:val="none"/>
        </w:rPr>
        <w:t>结转下年支出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288,333</w:t>
      </w:r>
      <w:r>
        <w:rPr>
          <w:rFonts w:hint="eastAsia" w:ascii="仿宋_GB2312"/>
          <w:sz w:val="32"/>
          <w:szCs w:val="32"/>
          <w:highlight w:val="none"/>
        </w:rPr>
        <w:t>万元，全市一般公共预算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/>
          <w:sz w:val="32"/>
          <w:szCs w:val="32"/>
          <w:highlight w:val="none"/>
        </w:rPr>
        <w:t>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1,501,007</w:t>
      </w:r>
      <w:r>
        <w:rPr>
          <w:rFonts w:hint="eastAsia" w:ascii="仿宋_GB2312"/>
          <w:sz w:val="32"/>
          <w:szCs w:val="32"/>
          <w:highlight w:val="none"/>
        </w:rPr>
        <w:t>万元。收支相抵，预算平衡。</w:t>
      </w:r>
    </w:p>
    <w:p w14:paraId="602075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ascii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市本级执行情况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市本级一般公共预算</w:t>
      </w:r>
      <w:r>
        <w:rPr>
          <w:rFonts w:hint="eastAsia" w:ascii="仿宋_GB2312"/>
          <w:sz w:val="32"/>
          <w:szCs w:val="32"/>
          <w:highlight w:val="none"/>
        </w:rPr>
        <w:t>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326,010</w:t>
      </w:r>
      <w:r>
        <w:rPr>
          <w:rFonts w:hint="eastAsia" w:ascii="仿宋_GB2312"/>
          <w:sz w:val="32"/>
          <w:szCs w:val="32"/>
          <w:highlight w:val="none"/>
        </w:rPr>
        <w:t>万元，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下降9.4%</w:t>
      </w:r>
      <w:r>
        <w:rPr>
          <w:rFonts w:hint="eastAsia" w:ascii="仿宋_GB2312"/>
          <w:sz w:val="32"/>
          <w:szCs w:val="32"/>
          <w:highlight w:val="none"/>
        </w:rPr>
        <w:t>。其中：税收收入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51,419</w:t>
      </w:r>
      <w:r>
        <w:rPr>
          <w:rFonts w:hint="eastAsia" w:ascii="仿宋_GB2312"/>
          <w:sz w:val="32"/>
          <w:szCs w:val="32"/>
          <w:highlight w:val="none"/>
        </w:rPr>
        <w:t>万元；非税收入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274,591</w:t>
      </w:r>
      <w:r>
        <w:rPr>
          <w:rFonts w:hint="eastAsia" w:ascii="仿宋_GB2312"/>
          <w:sz w:val="32"/>
          <w:szCs w:val="32"/>
          <w:highlight w:val="none"/>
        </w:rPr>
        <w:t>万元。完成的这些收入，加上上级转移支付收入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316,538</w:t>
      </w:r>
      <w:r>
        <w:rPr>
          <w:rFonts w:hint="eastAsia" w:ascii="仿宋_GB2312"/>
          <w:sz w:val="32"/>
          <w:szCs w:val="32"/>
          <w:highlight w:val="none"/>
        </w:rPr>
        <w:t>万元、动用预算稳定调节基金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210,000</w:t>
      </w:r>
      <w:r>
        <w:rPr>
          <w:rFonts w:hint="eastAsia" w:ascii="仿宋_GB2312"/>
          <w:sz w:val="32"/>
          <w:szCs w:val="32"/>
          <w:highlight w:val="none"/>
        </w:rPr>
        <w:t>万元、下级上解收入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35,920</w:t>
      </w:r>
      <w:r>
        <w:rPr>
          <w:rFonts w:hint="eastAsia" w:ascii="仿宋_GB2312"/>
          <w:sz w:val="32"/>
          <w:szCs w:val="32"/>
          <w:highlight w:val="none"/>
        </w:rPr>
        <w:t>万元、地方政府一般债务转贷收入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126,625</w:t>
      </w:r>
      <w:r>
        <w:rPr>
          <w:rFonts w:hint="eastAsia" w:ascii="仿宋_GB2312"/>
          <w:sz w:val="32"/>
          <w:szCs w:val="32"/>
          <w:highlight w:val="none"/>
        </w:rPr>
        <w:t>万元、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从</w:t>
      </w:r>
      <w:r>
        <w:rPr>
          <w:rFonts w:hint="eastAsia" w:ascii="仿宋_GB2312"/>
          <w:sz w:val="32"/>
          <w:szCs w:val="32"/>
          <w:highlight w:val="none"/>
        </w:rPr>
        <w:t>国有资本经营预算调入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403</w:t>
      </w:r>
      <w:r>
        <w:rPr>
          <w:rFonts w:hint="eastAsia" w:ascii="仿宋_GB2312"/>
          <w:sz w:val="32"/>
          <w:szCs w:val="32"/>
          <w:highlight w:val="none"/>
        </w:rPr>
        <w:t>万元、上年结转收入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264,508</w:t>
      </w:r>
      <w:r>
        <w:rPr>
          <w:rFonts w:hint="eastAsia" w:ascii="仿宋_GB2312"/>
          <w:sz w:val="32"/>
          <w:szCs w:val="32"/>
          <w:highlight w:val="none"/>
        </w:rPr>
        <w:t>万元，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市本级一般公共预算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收入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1,280,004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市本级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一般公共预算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812,092</w:t>
      </w:r>
      <w:r>
        <w:rPr>
          <w:rFonts w:hint="eastAsia" w:ascii="仿宋_GB2312"/>
          <w:sz w:val="32"/>
          <w:szCs w:val="32"/>
          <w:highlight w:val="none"/>
        </w:rPr>
        <w:t>万元，</w:t>
      </w:r>
      <w:r>
        <w:rPr>
          <w:rFonts w:hint="eastAsia" w:ascii="仿宋_GB2312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3.8%</w:t>
      </w:r>
      <w:r>
        <w:rPr>
          <w:rFonts w:hint="eastAsia" w:ascii="仿宋_GB2312"/>
          <w:sz w:val="32"/>
          <w:szCs w:val="32"/>
          <w:highlight w:val="none"/>
        </w:rPr>
        <w:t>。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加上上解上级支出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65,000万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元、补助下级支出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25,713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万元、</w:t>
      </w:r>
      <w:r>
        <w:rPr>
          <w:rFonts w:hint="eastAsia" w:ascii="仿宋_GB2312"/>
          <w:sz w:val="32"/>
          <w:szCs w:val="32"/>
          <w:highlight w:val="none"/>
        </w:rPr>
        <w:t>地方政府一般债务还本支出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126,625</w:t>
      </w:r>
      <w:r>
        <w:rPr>
          <w:rFonts w:hint="eastAsia" w:ascii="仿宋_GB2312"/>
          <w:sz w:val="32"/>
          <w:szCs w:val="32"/>
          <w:highlight w:val="none"/>
        </w:rPr>
        <w:t>万元、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调出资金17,000万元、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结转下年支出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233,574</w:t>
      </w:r>
      <w:r>
        <w:rPr>
          <w:rFonts w:hint="eastAsia" w:ascii="仿宋_GB2312"/>
          <w:sz w:val="32"/>
          <w:szCs w:val="32"/>
          <w:highlight w:val="none"/>
        </w:rPr>
        <w:t>万元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，市本级</w:t>
      </w:r>
      <w:r>
        <w:rPr>
          <w:rFonts w:hint="eastAsia" w:ascii="仿宋_GB2312"/>
          <w:sz w:val="32"/>
          <w:szCs w:val="32"/>
          <w:highlight w:val="none"/>
        </w:rPr>
        <w:t>一般公共预算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支出1,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280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004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/>
          <w:sz w:val="32"/>
          <w:szCs w:val="32"/>
          <w:highlight w:val="none"/>
        </w:rPr>
        <w:t>收支相抵，预算平衡。</w:t>
      </w:r>
    </w:p>
    <w:p w14:paraId="36CE35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大连北黄海经济开发区（下称北黄海经开区）和各街道执行情况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eastAsia="zh-CN"/>
        </w:rPr>
        <w:t>。</w:t>
      </w:r>
    </w:p>
    <w:p w14:paraId="601E11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ascii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楷体" w:cs="楷体"/>
          <w:sz w:val="32"/>
          <w:szCs w:val="32"/>
          <w:highlight w:val="none"/>
        </w:rPr>
        <w:t>（1）</w:t>
      </w:r>
      <w:r>
        <w:rPr>
          <w:rFonts w:hint="eastAsia" w:ascii="仿宋_GB2312" w:hAnsi="黑体"/>
          <w:sz w:val="32"/>
          <w:szCs w:val="32"/>
          <w:highlight w:val="none"/>
        </w:rPr>
        <w:t>北黄海经开区一般公共预算</w:t>
      </w:r>
      <w:r>
        <w:rPr>
          <w:rFonts w:hint="eastAsia" w:ascii="仿宋_GB2312"/>
          <w:sz w:val="32"/>
          <w:szCs w:val="32"/>
          <w:highlight w:val="none"/>
        </w:rPr>
        <w:t>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101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282</w:t>
      </w:r>
      <w:r>
        <w:rPr>
          <w:rFonts w:hint="eastAsia" w:ascii="仿宋_GB2312"/>
          <w:sz w:val="32"/>
          <w:szCs w:val="32"/>
          <w:highlight w:val="none"/>
        </w:rPr>
        <w:t>万元</w:t>
      </w:r>
      <w:r>
        <w:rPr>
          <w:rFonts w:hint="eastAsia" w:ascii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加上上级转移支付收入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875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万元，北黄海经开区一般公共预算总收入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102,157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万元；北黄海经开区一般公共预算</w:t>
      </w:r>
      <w:r>
        <w:rPr>
          <w:rFonts w:hint="eastAsia" w:ascii="仿宋_GB2312"/>
          <w:sz w:val="32"/>
          <w:szCs w:val="32"/>
          <w:highlight w:val="none"/>
        </w:rPr>
        <w:t>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537</w:t>
      </w:r>
      <w:r>
        <w:rPr>
          <w:rFonts w:hint="eastAsia" w:ascii="仿宋_GB2312"/>
          <w:sz w:val="32"/>
          <w:szCs w:val="32"/>
          <w:highlight w:val="none"/>
        </w:rPr>
        <w:t>万元</w:t>
      </w:r>
      <w:r>
        <w:rPr>
          <w:rFonts w:hint="eastAsia" w:ascii="仿宋_GB2312"/>
          <w:sz w:val="32"/>
          <w:szCs w:val="32"/>
          <w:highlight w:val="none"/>
          <w:lang w:eastAsia="zh-CN"/>
        </w:rPr>
        <w:t>，加上上解上级支出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463</w:t>
      </w:r>
      <w:r>
        <w:rPr>
          <w:rFonts w:hint="eastAsia" w:ascii="仿宋_GB2312"/>
          <w:sz w:val="32"/>
          <w:szCs w:val="32"/>
          <w:highlight w:val="none"/>
          <w:lang w:eastAsia="zh-CN"/>
        </w:rPr>
        <w:t>万元、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安排</w:t>
      </w:r>
      <w:r>
        <w:rPr>
          <w:rFonts w:hint="eastAsia" w:ascii="仿宋_GB2312"/>
          <w:sz w:val="32"/>
          <w:szCs w:val="32"/>
          <w:highlight w:val="none"/>
          <w:lang w:eastAsia="zh-CN"/>
        </w:rPr>
        <w:t>预算稳定调节基金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/>
          <w:sz w:val="32"/>
          <w:szCs w:val="32"/>
          <w:highlight w:val="none"/>
          <w:lang w:eastAsia="zh-CN"/>
        </w:rPr>
        <w:t>,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157</w:t>
      </w:r>
      <w:r>
        <w:rPr>
          <w:rFonts w:hint="eastAsia" w:ascii="仿宋_GB2312"/>
          <w:sz w:val="32"/>
          <w:szCs w:val="32"/>
          <w:highlight w:val="none"/>
          <w:lang w:eastAsia="zh-CN"/>
        </w:rPr>
        <w:t>万元、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调出资金40,000万元</w:t>
      </w:r>
      <w:r>
        <w:rPr>
          <w:rFonts w:hint="eastAsia" w:ascii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北黄海经开区</w:t>
      </w:r>
      <w:r>
        <w:rPr>
          <w:rFonts w:hint="eastAsia" w:ascii="仿宋_GB2312"/>
          <w:sz w:val="32"/>
          <w:szCs w:val="32"/>
          <w:highlight w:val="none"/>
          <w:lang w:eastAsia="zh-CN"/>
        </w:rPr>
        <w:t>一般公共预算总支出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102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</w:t>
      </w:r>
      <w:r>
        <w:rPr>
          <w:rFonts w:hint="eastAsia" w:ascii="仿宋_GB2312"/>
          <w:sz w:val="32"/>
          <w:szCs w:val="32"/>
          <w:highlight w:val="none"/>
          <w:lang w:eastAsia="zh-CN"/>
        </w:rPr>
        <w:t>万元。收支相抵，预算平衡。</w:t>
      </w:r>
    </w:p>
    <w:p w14:paraId="24DCB15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ascii="仿宋_GB2312" w:hAnsi="黑体"/>
          <w:sz w:val="3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</w:rPr>
        <w:t>（2）</w:t>
      </w:r>
      <w:r>
        <w:rPr>
          <w:rFonts w:hint="eastAsia" w:ascii="仿宋_GB2312" w:hAnsi="黑体"/>
          <w:sz w:val="32"/>
          <w:szCs w:val="32"/>
          <w:highlight w:val="none"/>
        </w:rPr>
        <w:t>城关街道一般公共预算收入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886</w:t>
      </w:r>
      <w:r>
        <w:rPr>
          <w:rFonts w:hint="eastAsia" w:ascii="仿宋_GB2312" w:hAnsi="黑体"/>
          <w:sz w:val="32"/>
          <w:szCs w:val="32"/>
          <w:highlight w:val="none"/>
        </w:rPr>
        <w:t>万元，加上上级转移支付收入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2,150</w:t>
      </w:r>
      <w:r>
        <w:rPr>
          <w:rFonts w:hint="eastAsia" w:ascii="仿宋_GB2312" w:hAnsi="黑体"/>
          <w:sz w:val="32"/>
          <w:szCs w:val="32"/>
          <w:highlight w:val="none"/>
        </w:rPr>
        <w:t>万元，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城关街道</w:t>
      </w:r>
      <w:r>
        <w:rPr>
          <w:rFonts w:hint="eastAsia" w:ascii="仿宋_GB2312" w:hAnsi="黑体"/>
          <w:sz w:val="32"/>
          <w:szCs w:val="32"/>
          <w:highlight w:val="none"/>
        </w:rPr>
        <w:t>一般公共预算总收入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036</w:t>
      </w:r>
      <w:r>
        <w:rPr>
          <w:rFonts w:hint="eastAsia" w:ascii="仿宋_GB2312" w:hAnsi="黑体"/>
          <w:sz w:val="32"/>
          <w:szCs w:val="32"/>
          <w:highlight w:val="none"/>
        </w:rPr>
        <w:t>万元；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城关街道</w:t>
      </w:r>
      <w:r>
        <w:rPr>
          <w:rFonts w:hint="eastAsia" w:ascii="仿宋_GB2312" w:hAnsi="黑体"/>
          <w:sz w:val="32"/>
          <w:szCs w:val="32"/>
          <w:highlight w:val="none"/>
        </w:rPr>
        <w:t>一般公共预算支出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520</w:t>
      </w:r>
      <w:r>
        <w:rPr>
          <w:rFonts w:hint="eastAsia" w:ascii="仿宋_GB2312" w:hAnsi="黑体"/>
          <w:sz w:val="32"/>
          <w:szCs w:val="32"/>
          <w:highlight w:val="none"/>
        </w:rPr>
        <w:t>万元，加上上解上级支出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856</w:t>
      </w:r>
      <w:r>
        <w:rPr>
          <w:rFonts w:hint="eastAsia" w:ascii="仿宋_GB2312" w:hAnsi="黑体"/>
          <w:sz w:val="32"/>
          <w:szCs w:val="32"/>
          <w:highlight w:val="none"/>
        </w:rPr>
        <w:t>万元</w:t>
      </w:r>
      <w:r>
        <w:rPr>
          <w:rFonts w:hint="eastAsia" w:ascii="仿宋_GB2312" w:hAnsi="黑体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安排预算稳定调节基金1,660万元</w:t>
      </w:r>
      <w:r>
        <w:rPr>
          <w:rFonts w:hint="eastAsia" w:ascii="仿宋_GB2312" w:hAnsi="黑体"/>
          <w:sz w:val="32"/>
          <w:szCs w:val="32"/>
          <w:highlight w:val="none"/>
        </w:rPr>
        <w:t>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城关街道</w:t>
      </w:r>
      <w:r>
        <w:rPr>
          <w:rFonts w:hint="eastAsia" w:ascii="仿宋_GB2312" w:hAnsi="黑体"/>
          <w:sz w:val="32"/>
          <w:szCs w:val="32"/>
          <w:highlight w:val="none"/>
        </w:rPr>
        <w:t>一般公共预算总支出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黑体"/>
          <w:sz w:val="32"/>
          <w:szCs w:val="32"/>
          <w:highlight w:val="none"/>
        </w:rPr>
        <w:t>万元。收支相抵，预算平衡。</w:t>
      </w:r>
    </w:p>
    <w:p w14:paraId="5BA98FD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ascii="仿宋_GB2312" w:hAnsi="黑体"/>
          <w:sz w:val="3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</w:rPr>
        <w:t>（3）</w:t>
      </w:r>
      <w:r>
        <w:rPr>
          <w:rFonts w:hint="eastAsia" w:ascii="仿宋_GB2312" w:hAnsi="黑体"/>
          <w:sz w:val="32"/>
          <w:szCs w:val="32"/>
          <w:highlight w:val="none"/>
        </w:rPr>
        <w:t>兴达街道一般公共预算收入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186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仿宋_GB2312" w:hAnsi="黑体"/>
          <w:sz w:val="32"/>
          <w:szCs w:val="32"/>
          <w:highlight w:val="none"/>
        </w:rPr>
        <w:t>元，加上上级转移支付收入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1,045</w:t>
      </w:r>
      <w:r>
        <w:rPr>
          <w:rFonts w:hint="eastAsia" w:ascii="仿宋_GB2312" w:hAnsi="黑体"/>
          <w:sz w:val="32"/>
          <w:szCs w:val="32"/>
          <w:highlight w:val="none"/>
        </w:rPr>
        <w:t>万元</w:t>
      </w:r>
      <w:r>
        <w:rPr>
          <w:rFonts w:hint="eastAsia" w:ascii="仿宋_GB2312" w:hAnsi="黑体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兴达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街道一般公共预算总收入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231</w:t>
      </w:r>
      <w:r>
        <w:rPr>
          <w:rFonts w:hint="eastAsia" w:ascii="仿宋_GB2312" w:hAnsi="黑体"/>
          <w:sz w:val="32"/>
          <w:szCs w:val="32"/>
          <w:highlight w:val="none"/>
        </w:rPr>
        <w:t>万元；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兴达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831</w:t>
      </w:r>
      <w:r>
        <w:rPr>
          <w:rFonts w:hint="eastAsia" w:ascii="仿宋_GB2312" w:hAnsi="黑体"/>
          <w:sz w:val="32"/>
          <w:szCs w:val="32"/>
          <w:highlight w:val="none"/>
        </w:rPr>
        <w:t>万元，加上上解上级支出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1,400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黑体"/>
          <w:sz w:val="32"/>
          <w:szCs w:val="32"/>
          <w:highlight w:val="none"/>
        </w:rPr>
        <w:t>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兴达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街道一般公共预算总支出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231</w:t>
      </w:r>
      <w:r>
        <w:rPr>
          <w:rFonts w:hint="eastAsia" w:ascii="仿宋_GB2312" w:hAnsi="黑体"/>
          <w:sz w:val="32"/>
          <w:szCs w:val="32"/>
          <w:highlight w:val="none"/>
        </w:rPr>
        <w:t>万元。收支相抵，预算平衡。</w:t>
      </w:r>
    </w:p>
    <w:p w14:paraId="196E5EE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ascii="仿宋_GB2312" w:hAnsi="黑体"/>
          <w:sz w:val="3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</w:rPr>
        <w:t>（4）</w:t>
      </w:r>
      <w:r>
        <w:rPr>
          <w:rFonts w:hint="eastAsia" w:ascii="仿宋_GB2312" w:hAnsi="黑体"/>
          <w:sz w:val="32"/>
          <w:szCs w:val="32"/>
          <w:highlight w:val="none"/>
        </w:rPr>
        <w:t>新华街道一般公共预算收入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200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仿宋_GB2312" w:hAnsi="黑体"/>
          <w:sz w:val="32"/>
          <w:szCs w:val="32"/>
          <w:highlight w:val="none"/>
        </w:rPr>
        <w:t>元，加上上级转移支付收入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1,690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仿宋_GB2312" w:hAnsi="黑体"/>
          <w:sz w:val="32"/>
          <w:szCs w:val="32"/>
          <w:highlight w:val="none"/>
        </w:rPr>
        <w:t>元，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新华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街道一般公共预算总收入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890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仿宋_GB2312" w:hAnsi="黑体"/>
          <w:sz w:val="32"/>
          <w:szCs w:val="32"/>
          <w:highlight w:val="none"/>
        </w:rPr>
        <w:t>元；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新华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871</w:t>
      </w:r>
      <w:r>
        <w:rPr>
          <w:rFonts w:hint="eastAsia" w:ascii="仿宋_GB2312" w:hAnsi="黑体"/>
          <w:sz w:val="32"/>
          <w:szCs w:val="32"/>
          <w:highlight w:val="none"/>
        </w:rPr>
        <w:t>万元，加上上解上级支出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1,970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仿宋_GB2312" w:hAnsi="黑体"/>
          <w:sz w:val="32"/>
          <w:szCs w:val="32"/>
          <w:highlight w:val="none"/>
        </w:rPr>
        <w:t>元</w:t>
      </w:r>
      <w:r>
        <w:rPr>
          <w:rFonts w:hint="eastAsia" w:ascii="仿宋_GB2312" w:hAnsi="黑体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安排预算稳定调节基金1,049万元</w:t>
      </w:r>
      <w:r>
        <w:rPr>
          <w:rFonts w:hint="eastAsia" w:ascii="仿宋_GB2312" w:hAnsi="黑体"/>
          <w:sz w:val="32"/>
          <w:szCs w:val="32"/>
          <w:highlight w:val="none"/>
        </w:rPr>
        <w:t>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新华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街道一般公共预算总支出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890</w:t>
      </w:r>
      <w:r>
        <w:rPr>
          <w:rFonts w:hint="eastAsia" w:ascii="仿宋_GB2312" w:hAnsi="黑体"/>
          <w:sz w:val="32"/>
          <w:szCs w:val="32"/>
          <w:highlight w:val="none"/>
        </w:rPr>
        <w:t>万元。收支相抵，预算平衡。</w:t>
      </w:r>
    </w:p>
    <w:p w14:paraId="1A9877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ascii="仿宋_GB2312" w:hAnsi="黑体"/>
          <w:sz w:val="32"/>
          <w:szCs w:val="32"/>
          <w:highlight w:val="none"/>
          <w:lang w:eastAsia="zh-CN"/>
        </w:rPr>
      </w:pPr>
      <w:r>
        <w:rPr>
          <w:rFonts w:hint="eastAsia" w:ascii="仿宋_GB2312"/>
          <w:sz w:val="32"/>
          <w:szCs w:val="32"/>
          <w:highlight w:val="none"/>
        </w:rPr>
        <w:t>（5）</w:t>
      </w:r>
      <w:r>
        <w:rPr>
          <w:rFonts w:hint="eastAsia" w:ascii="仿宋_GB2312" w:hAnsi="黑体"/>
          <w:sz w:val="32"/>
          <w:szCs w:val="32"/>
          <w:highlight w:val="none"/>
        </w:rPr>
        <w:t>昌盛街道一般公共预算收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902</w:t>
      </w:r>
      <w:r>
        <w:rPr>
          <w:rFonts w:hint="eastAsia" w:ascii="仿宋_GB2312" w:hAnsi="黑体"/>
          <w:sz w:val="32"/>
          <w:szCs w:val="32"/>
          <w:highlight w:val="none"/>
        </w:rPr>
        <w:t>万元，加上上级转移支付收入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1,319</w:t>
      </w:r>
      <w:r>
        <w:rPr>
          <w:rFonts w:hint="eastAsia" w:ascii="仿宋_GB2312" w:hAnsi="黑体"/>
          <w:sz w:val="32"/>
          <w:szCs w:val="32"/>
          <w:highlight w:val="none"/>
        </w:rPr>
        <w:t>万元，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昌盛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街道一般公共预算总收入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221</w:t>
      </w:r>
      <w:r>
        <w:rPr>
          <w:rFonts w:hint="eastAsia" w:ascii="仿宋_GB2312" w:hAnsi="黑体"/>
          <w:sz w:val="32"/>
          <w:szCs w:val="32"/>
          <w:highlight w:val="none"/>
        </w:rPr>
        <w:t>万元；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昌盛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756</w:t>
      </w:r>
      <w:r>
        <w:rPr>
          <w:rFonts w:hint="eastAsia" w:ascii="仿宋_GB2312" w:hAnsi="黑体"/>
          <w:sz w:val="32"/>
          <w:szCs w:val="32"/>
          <w:highlight w:val="none"/>
        </w:rPr>
        <w:t>万元，加上上解上级支出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1,039</w:t>
      </w:r>
      <w:r>
        <w:rPr>
          <w:rFonts w:hint="eastAsia" w:ascii="仿宋_GB2312" w:hAnsi="黑体"/>
          <w:sz w:val="32"/>
          <w:szCs w:val="32"/>
          <w:highlight w:val="none"/>
        </w:rPr>
        <w:t>万元、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安排</w:t>
      </w:r>
      <w:r>
        <w:rPr>
          <w:rFonts w:hint="eastAsia" w:ascii="仿宋_GB2312" w:hAnsi="黑体"/>
          <w:sz w:val="32"/>
          <w:szCs w:val="32"/>
          <w:highlight w:val="none"/>
        </w:rPr>
        <w:t>预算稳定调节基金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426</w:t>
      </w:r>
      <w:r>
        <w:rPr>
          <w:rFonts w:hint="eastAsia" w:ascii="仿宋_GB2312" w:hAnsi="黑体"/>
          <w:sz w:val="32"/>
          <w:szCs w:val="32"/>
          <w:highlight w:val="none"/>
        </w:rPr>
        <w:t>万元</w:t>
      </w:r>
      <w:r>
        <w:rPr>
          <w:rFonts w:hint="eastAsia" w:ascii="仿宋_GB2312" w:hAnsi="黑体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昌盛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街道一般公共预算总支出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221</w:t>
      </w:r>
      <w:r>
        <w:rPr>
          <w:rFonts w:hint="eastAsia" w:ascii="仿宋_GB2312" w:hAnsi="黑体"/>
          <w:sz w:val="32"/>
          <w:szCs w:val="32"/>
          <w:highlight w:val="none"/>
        </w:rPr>
        <w:t>万元。收支相抵，预算平衡</w:t>
      </w:r>
      <w:r>
        <w:rPr>
          <w:rFonts w:hint="eastAsia" w:ascii="仿宋_GB2312" w:hAnsi="黑体"/>
          <w:sz w:val="32"/>
          <w:szCs w:val="32"/>
          <w:highlight w:val="none"/>
          <w:lang w:eastAsia="zh-CN"/>
        </w:rPr>
        <w:t>。</w:t>
      </w:r>
    </w:p>
    <w:p w14:paraId="1F91B6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ascii="仿宋_GB2312"/>
          <w:sz w:val="3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</w:rPr>
        <w:t>（6）明阳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795</w:t>
      </w:r>
      <w:r>
        <w:rPr>
          <w:rFonts w:hint="eastAsia" w:ascii="仿宋_GB2312"/>
          <w:sz w:val="32"/>
          <w:szCs w:val="32"/>
          <w:highlight w:val="none"/>
        </w:rPr>
        <w:t>万元</w:t>
      </w:r>
      <w:r>
        <w:rPr>
          <w:rFonts w:hint="eastAsia" w:ascii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/>
          <w:sz w:val="32"/>
          <w:szCs w:val="32"/>
          <w:highlight w:val="none"/>
        </w:rPr>
        <w:t>加上上级转移支付收入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768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仿宋_GB2312"/>
          <w:sz w:val="32"/>
          <w:szCs w:val="32"/>
          <w:highlight w:val="none"/>
        </w:rPr>
        <w:t>元、上年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/>
          <w:sz w:val="32"/>
          <w:szCs w:val="32"/>
          <w:highlight w:val="none"/>
        </w:rPr>
        <w:t>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533</w:t>
      </w:r>
      <w:r>
        <w:rPr>
          <w:rFonts w:hint="eastAsia" w:ascii="仿宋_GB2312"/>
          <w:sz w:val="32"/>
          <w:szCs w:val="32"/>
          <w:highlight w:val="none"/>
        </w:rPr>
        <w:t>万元，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明阳街道一般公共预算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4,096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明阳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676</w:t>
      </w:r>
      <w:r>
        <w:rPr>
          <w:rFonts w:hint="eastAsia" w:ascii="仿宋_GB2312" w:hAnsi="黑体"/>
          <w:sz w:val="32"/>
          <w:szCs w:val="32"/>
          <w:highlight w:val="none"/>
        </w:rPr>
        <w:t>万元，加上上解上级支出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763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仿宋_GB2312" w:hAnsi="黑体"/>
          <w:sz w:val="32"/>
          <w:szCs w:val="32"/>
          <w:highlight w:val="none"/>
        </w:rPr>
        <w:t>元</w:t>
      </w:r>
      <w:r>
        <w:rPr>
          <w:rFonts w:hint="eastAsia" w:ascii="仿宋_GB2312" w:hAnsi="黑体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结转下年支出657万元</w:t>
      </w:r>
      <w:r>
        <w:rPr>
          <w:rFonts w:hint="eastAsia" w:ascii="仿宋_GB2312" w:hAnsi="黑体"/>
          <w:sz w:val="32"/>
          <w:szCs w:val="32"/>
          <w:highlight w:val="none"/>
        </w:rPr>
        <w:t>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明阳</w:t>
      </w:r>
      <w:r>
        <w:rPr>
          <w:rFonts w:hint="eastAsia" w:ascii="仿宋_GB2312" w:hAnsi="黑体"/>
          <w:sz w:val="32"/>
          <w:szCs w:val="32"/>
          <w:highlight w:val="none"/>
        </w:rPr>
        <w:t>街道一般公共预算总支出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096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万元。收支相抵，预算平衡。</w:t>
      </w:r>
    </w:p>
    <w:p w14:paraId="56C9A4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465" w:firstLineChars="147"/>
        <w:textAlignment w:val="auto"/>
        <w:rPr>
          <w:rFonts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（二）政府性基金预算执行情况</w:t>
      </w:r>
    </w:p>
    <w:p w14:paraId="0A650A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ascii="仿宋_GB2312" w:hAnsi="黑体"/>
          <w:sz w:val="32"/>
          <w:szCs w:val="32"/>
          <w:highlight w:val="none"/>
        </w:rPr>
      </w:pPr>
      <w:r>
        <w:rPr>
          <w:rFonts w:hint="eastAsia" w:ascii="仿宋_GB2312" w:hAnsi="黑体"/>
          <w:sz w:val="32"/>
          <w:szCs w:val="32"/>
          <w:highlight w:val="none"/>
        </w:rPr>
        <w:t>全市政府性基金预算收入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230</w:t>
      </w:r>
      <w:r>
        <w:rPr>
          <w:rFonts w:hint="eastAsia" w:ascii="仿宋_GB2312" w:hAnsi="黑体"/>
          <w:sz w:val="32"/>
          <w:szCs w:val="32"/>
          <w:highlight w:val="none"/>
        </w:rPr>
        <w:t>万元，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下降65.9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%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黑体"/>
          <w:sz w:val="32"/>
          <w:szCs w:val="32"/>
          <w:highlight w:val="none"/>
        </w:rPr>
        <w:t>加上上级转移支付收入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63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135</w:t>
      </w:r>
      <w:r>
        <w:rPr>
          <w:rFonts w:hint="eastAsia" w:ascii="仿宋_GB2312" w:hAnsi="黑体"/>
          <w:sz w:val="32"/>
          <w:szCs w:val="32"/>
          <w:highlight w:val="none"/>
        </w:rPr>
        <w:t>万元、上年结转收入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176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460</w:t>
      </w:r>
      <w:r>
        <w:rPr>
          <w:rFonts w:hint="eastAsia" w:ascii="仿宋_GB2312" w:hAnsi="黑体"/>
          <w:sz w:val="32"/>
          <w:szCs w:val="32"/>
          <w:highlight w:val="none"/>
        </w:rPr>
        <w:t>万元、</w:t>
      </w:r>
      <w:r>
        <w:rPr>
          <w:rFonts w:hint="eastAsia" w:ascii="仿宋_GB2312"/>
          <w:sz w:val="32"/>
          <w:szCs w:val="32"/>
          <w:highlight w:val="none"/>
        </w:rPr>
        <w:t>地方政府专项债务转贷收入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653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148</w:t>
      </w:r>
      <w:r>
        <w:rPr>
          <w:rFonts w:hint="eastAsia" w:ascii="仿宋_GB2312" w:hAnsi="黑体"/>
          <w:sz w:val="32"/>
          <w:szCs w:val="32"/>
          <w:highlight w:val="none"/>
        </w:rPr>
        <w:t>万元</w:t>
      </w:r>
      <w:r>
        <w:rPr>
          <w:rFonts w:hint="eastAsia" w:ascii="仿宋_GB2312" w:hAnsi="黑体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调入资金57,000万元</w:t>
      </w:r>
      <w:r>
        <w:rPr>
          <w:rFonts w:hint="eastAsia" w:ascii="仿宋_GB2312" w:hAnsi="黑体"/>
          <w:sz w:val="32"/>
          <w:szCs w:val="32"/>
          <w:highlight w:val="none"/>
        </w:rPr>
        <w:t>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全市</w:t>
      </w:r>
      <w:r>
        <w:rPr>
          <w:rFonts w:hint="eastAsia" w:ascii="仿宋_GB2312" w:hAnsi="黑体"/>
          <w:sz w:val="32"/>
          <w:szCs w:val="32"/>
          <w:highlight w:val="none"/>
        </w:rPr>
        <w:t>政府性基金预算总收入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969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973</w:t>
      </w:r>
      <w:r>
        <w:rPr>
          <w:rFonts w:hint="eastAsia" w:ascii="仿宋_GB2312" w:hAnsi="黑体"/>
          <w:sz w:val="32"/>
          <w:szCs w:val="32"/>
          <w:highlight w:val="none"/>
        </w:rPr>
        <w:t>万元；全市政府性基金预算支出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388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145</w:t>
      </w:r>
      <w:r>
        <w:rPr>
          <w:rFonts w:hint="eastAsia" w:ascii="仿宋_GB2312" w:hAnsi="黑体"/>
          <w:sz w:val="32"/>
          <w:szCs w:val="32"/>
          <w:highlight w:val="none"/>
        </w:rPr>
        <w:t>万元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，增长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165.8%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黑体"/>
          <w:sz w:val="32"/>
          <w:szCs w:val="32"/>
          <w:highlight w:val="none"/>
        </w:rPr>
        <w:t>加上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专项债务还本</w:t>
      </w:r>
      <w:r>
        <w:rPr>
          <w:rFonts w:hint="eastAsia" w:ascii="仿宋_GB2312" w:hAnsi="黑体"/>
          <w:sz w:val="32"/>
          <w:szCs w:val="32"/>
          <w:highlight w:val="none"/>
        </w:rPr>
        <w:t>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394,520</w:t>
      </w:r>
      <w:r>
        <w:rPr>
          <w:rFonts w:hint="eastAsia" w:ascii="仿宋_GB2312" w:hAnsi="黑体"/>
          <w:sz w:val="32"/>
          <w:szCs w:val="32"/>
          <w:highlight w:val="none"/>
        </w:rPr>
        <w:t>万元、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结转下年支出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187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308</w:t>
      </w:r>
      <w:r>
        <w:rPr>
          <w:rFonts w:hint="eastAsia" w:ascii="仿宋_GB2312" w:hAnsi="黑体"/>
          <w:sz w:val="32"/>
          <w:szCs w:val="32"/>
          <w:highlight w:val="none"/>
        </w:rPr>
        <w:t>万元，全市政府性基金预算总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969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973</w:t>
      </w:r>
      <w:r>
        <w:rPr>
          <w:rFonts w:hint="eastAsia" w:ascii="仿宋_GB2312" w:hAnsi="黑体"/>
          <w:sz w:val="32"/>
          <w:szCs w:val="32"/>
          <w:highlight w:val="none"/>
        </w:rPr>
        <w:t>万元。收支相抵，预算平衡。</w:t>
      </w:r>
    </w:p>
    <w:p w14:paraId="328A1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465" w:firstLineChars="147"/>
        <w:textAlignment w:val="auto"/>
        <w:rPr>
          <w:rFonts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（三）国有资本经营预算执行情况</w:t>
      </w:r>
    </w:p>
    <w:p w14:paraId="798963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ascii="仿宋_GB2312"/>
          <w:sz w:val="3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</w:rPr>
        <w:t>全市国有资本经营预算</w:t>
      </w:r>
      <w:r>
        <w:rPr>
          <w:rFonts w:hint="eastAsia" w:ascii="仿宋_GB2312" w:hAnsi="黑体"/>
          <w:sz w:val="32"/>
          <w:szCs w:val="32"/>
          <w:highlight w:val="none"/>
        </w:rPr>
        <w:t>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403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/>
          <w:sz w:val="32"/>
          <w:szCs w:val="32"/>
          <w:highlight w:val="none"/>
        </w:rPr>
        <w:t>，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增长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675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加上上级转移支付收入34万元、</w:t>
      </w:r>
      <w:r>
        <w:rPr>
          <w:rFonts w:hint="eastAsia" w:ascii="仿宋_GB2312"/>
          <w:sz w:val="32"/>
          <w:szCs w:val="32"/>
          <w:highlight w:val="none"/>
          <w:lang w:eastAsia="zh-CN"/>
        </w:rPr>
        <w:t>上年结转收入57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万元，全市国有资本经营预算总收入494万元。</w:t>
      </w:r>
      <w:r>
        <w:rPr>
          <w:rFonts w:hint="eastAsia" w:ascii="仿宋_GB2312" w:hAnsi="黑体"/>
          <w:sz w:val="32"/>
          <w:szCs w:val="32"/>
          <w:highlight w:val="none"/>
          <w:lang w:eastAsia="zh-CN"/>
        </w:rPr>
        <w:t>全市国有资本经营预算</w:t>
      </w:r>
      <w:r>
        <w:rPr>
          <w:rFonts w:hint="eastAsia" w:ascii="仿宋_GB2312" w:hAnsi="黑体"/>
          <w:sz w:val="32"/>
          <w:szCs w:val="32"/>
          <w:highlight w:val="none"/>
        </w:rPr>
        <w:t>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万元、加上结转下年支出31万元</w:t>
      </w:r>
      <w:r>
        <w:rPr>
          <w:rFonts w:hint="eastAsia" w:ascii="仿宋_GB2312" w:hAnsi="黑体"/>
          <w:sz w:val="32"/>
          <w:szCs w:val="32"/>
          <w:highlight w:val="none"/>
        </w:rPr>
        <w:t>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剩余403万元</w:t>
      </w:r>
      <w:r>
        <w:rPr>
          <w:rFonts w:hint="eastAsia" w:ascii="仿宋_GB2312" w:hAnsi="黑体"/>
          <w:sz w:val="32"/>
          <w:szCs w:val="32"/>
          <w:highlight w:val="none"/>
        </w:rPr>
        <w:t>全部调入一般公共预算。收支相抵，预算平衡。</w:t>
      </w:r>
    </w:p>
    <w:p w14:paraId="72CD03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465" w:firstLineChars="147"/>
        <w:textAlignment w:val="auto"/>
        <w:rPr>
          <w:rFonts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（四）社会保险基金预算执行情况</w:t>
      </w:r>
    </w:p>
    <w:p w14:paraId="3A07AD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ascii="仿宋_GB2312" w:hAnsi="宋体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我市负责统筹的是机关事业单位养老保险基金（均为市本级），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全市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社会保险基金预算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101,940</w:t>
      </w:r>
      <w:r>
        <w:rPr>
          <w:rFonts w:hint="eastAsia" w:ascii="仿宋_GB2312" w:hAnsi="仿宋_GB2312"/>
          <w:sz w:val="32"/>
          <w:szCs w:val="32"/>
          <w:highlight w:val="none"/>
        </w:rPr>
        <w:t>万元，</w:t>
      </w:r>
      <w:r>
        <w:rPr>
          <w:rFonts w:hint="eastAsia" w:ascii="仿宋_GB2312" w:hAnsi="宋体"/>
          <w:sz w:val="32"/>
          <w:szCs w:val="32"/>
          <w:highlight w:val="none"/>
        </w:rPr>
        <w:t>其中财政补助收入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69,850</w:t>
      </w:r>
      <w:r>
        <w:rPr>
          <w:rFonts w:hint="eastAsia" w:ascii="仿宋_GB2312" w:hAnsi="宋体"/>
          <w:sz w:val="32"/>
          <w:szCs w:val="32"/>
          <w:highlight w:val="none"/>
        </w:rPr>
        <w:t>万元（一般公共预算中在“ 机关事业单位基本养老保险基金财政补助收入”科目反映）</w:t>
      </w:r>
      <w:r>
        <w:rPr>
          <w:rFonts w:hint="eastAsia" w:ascii="仿宋_GB2312" w:hAnsi="宋体"/>
          <w:sz w:val="32"/>
          <w:szCs w:val="32"/>
          <w:highlight w:val="none"/>
          <w:lang w:val="en-US" w:eastAsia="zh-CN"/>
        </w:rPr>
        <w:t>，加上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上年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6,622万元，</w:t>
      </w:r>
      <w:r>
        <w:rPr>
          <w:rFonts w:hint="eastAsia" w:ascii="仿宋_GB2312" w:hAnsi="黑体"/>
          <w:sz w:val="32"/>
          <w:szCs w:val="32"/>
          <w:highlight w:val="none"/>
          <w:lang w:val="en-US" w:eastAsia="zh-CN"/>
        </w:rPr>
        <w:t>全市社会保险</w:t>
      </w:r>
      <w:r>
        <w:rPr>
          <w:rFonts w:hint="eastAsia" w:ascii="仿宋_GB2312" w:hAnsi="黑体"/>
          <w:sz w:val="32"/>
          <w:szCs w:val="32"/>
          <w:highlight w:val="none"/>
        </w:rPr>
        <w:t>基金预算总收入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562</w:t>
      </w:r>
      <w:r>
        <w:rPr>
          <w:rFonts w:hint="eastAsia" w:ascii="仿宋_GB2312" w:hAnsi="黑体"/>
          <w:sz w:val="32"/>
          <w:szCs w:val="32"/>
          <w:highlight w:val="none"/>
        </w:rPr>
        <w:t>万元；</w:t>
      </w:r>
      <w:r>
        <w:rPr>
          <w:rFonts w:hint="eastAsia" w:ascii="仿宋_GB2312" w:hAnsi="仿宋_GB2312"/>
          <w:sz w:val="32"/>
          <w:szCs w:val="32"/>
          <w:highlight w:val="none"/>
        </w:rPr>
        <w:t>全市社会保险基金预算</w:t>
      </w:r>
      <w:r>
        <w:rPr>
          <w:rFonts w:hint="eastAsia" w:ascii="仿宋_GB2312" w:hAnsi="宋体"/>
          <w:sz w:val="32"/>
          <w:szCs w:val="32"/>
          <w:highlight w:val="none"/>
        </w:rPr>
        <w:t>支出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103</w:t>
      </w:r>
      <w:r>
        <w:rPr>
          <w:rFonts w:hint="eastAsia" w:ascii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700</w:t>
      </w:r>
      <w:r>
        <w:rPr>
          <w:rFonts w:hint="eastAsia" w:ascii="仿宋_GB2312" w:hAnsi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/>
          <w:sz w:val="32"/>
          <w:szCs w:val="32"/>
          <w:highlight w:val="none"/>
          <w:lang w:val="en-US" w:eastAsia="zh-CN"/>
        </w:rPr>
        <w:t>年末结余4,862万元</w:t>
      </w:r>
      <w:r>
        <w:rPr>
          <w:rFonts w:hint="eastAsia" w:ascii="仿宋_GB2312" w:hAnsi="宋体"/>
          <w:sz w:val="32"/>
          <w:szCs w:val="32"/>
          <w:highlight w:val="none"/>
        </w:rPr>
        <w:t>，全市</w:t>
      </w:r>
      <w:r>
        <w:rPr>
          <w:rFonts w:hint="eastAsia" w:ascii="仿宋_GB2312" w:hAnsi="宋体"/>
          <w:sz w:val="32"/>
          <w:szCs w:val="32"/>
          <w:highlight w:val="none"/>
          <w:lang w:val="en-US" w:eastAsia="zh-CN"/>
        </w:rPr>
        <w:t>社会保险</w:t>
      </w:r>
      <w:r>
        <w:rPr>
          <w:rFonts w:hint="eastAsia" w:ascii="仿宋_GB2312" w:hAnsi="宋体"/>
          <w:sz w:val="32"/>
          <w:szCs w:val="32"/>
          <w:highlight w:val="none"/>
        </w:rPr>
        <w:t>基金预算总支出108,56</w:t>
      </w:r>
      <w:r>
        <w:rPr>
          <w:rFonts w:hint="eastAsia" w:ascii="仿宋_GB2312" w:hAnsi="宋体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/>
          <w:sz w:val="32"/>
          <w:szCs w:val="32"/>
          <w:highlight w:val="none"/>
        </w:rPr>
        <w:t>万元。收支相抵，预算平衡。</w:t>
      </w:r>
    </w:p>
    <w:p w14:paraId="7327EB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债务情况。我市（含北黄海经开区）地方政府债务限额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333.48亿元。全市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政府债务余额329.26亿元，控制在上级政府下达的债务限额以内。我市地方政府债券到期本金按规定由预算资金偿还10%，剩余部分通过发行再融资债券解决；利息通过预算资金偿还。</w:t>
      </w:r>
    </w:p>
    <w:p w14:paraId="1A27FD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ascii="黑体" w:hAnsi="黑体" w:eastAsia="黑体" w:cs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二、202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年财政主要工作</w:t>
      </w:r>
    </w:p>
    <w:p w14:paraId="7E1AAD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5年作为“十四五”规划的收官之年，做好财政工作意义重大。我市严格依照省、市经济工作会议的部署要求，认真贯彻市人大预算决议，进一步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深化财政资源统筹，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加力聚财，精准用财，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稳步推进财政政策的落实，切实保障“三保”支出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，稳妥管控财政运行风险，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充分发挥财政职能在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全市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经济发展中的关键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性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支撑作用，有力推动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我市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经济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回暖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向好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确保全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市经济运行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 xml:space="preserve">平稳可控。 </w:t>
      </w:r>
    </w:p>
    <w:p w14:paraId="3016DE74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atLeast"/>
        <w:ind w:left="0" w:leftChars="0" w:right="0" w:rightChars="0" w:firstLine="632" w:firstLineChars="20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  <w:t>抢抓机遇挖潜增收，做大财政收入“蛋糕”</w:t>
      </w:r>
    </w:p>
    <w:p w14:paraId="03232C9F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atLeast"/>
        <w:ind w:right="0" w:rightChars="0" w:firstLine="632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一是培育壮大财源税源。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有效利用税收优惠政策，助力企业发展壮大，打造清洁能源领域的新型支柱税源，培育经济新的增长点，实现财政收入在规模和质量上的合理增长。构建财税互联机制，推动财税数据信息共享，做深做细财税结构监测，扎实推进“房土”两税的摸底清查工作，及时发现征管漏洞和潜在税源，重点开展陈欠与新欠的“双清理”工作，防止税源流失，确保应收尽收。全年财政收入预计达到56亿元，同比增长1%。</w:t>
      </w:r>
      <w:r>
        <w:rPr>
          <w:rFonts w:hint="eastAsia" w:asci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二是强化非税收入征管。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锚定年度非税收入预期目标，加强与非税收入执收部门的沟通协作，深入剖析非税收入增减变化原因，聚焦海域使用金、矿产资源收入等重点项目，挖掘闲置国有资产处置潜力，积极探寻非税收入新的增长来源，确保非税收入依法、及时足额入库，为财政收入稳定增长提供坚实支撑。</w:t>
      </w:r>
      <w:r>
        <w:rPr>
          <w:rFonts w:hint="eastAsia" w:asci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三是全力以赴争资争项。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 xml:space="preserve">密切关注政策导向，研究吃透上级政策，围绕预算内投资、专项债、超长期特别国债等领域，抢抓机遇，提前谋划项目，充分利用上级政策支持。2025年，共向上争取资金53.9亿元，资金争取工作在规模和质量方面取得了新突破。 </w:t>
      </w:r>
    </w:p>
    <w:p w14:paraId="0AECEFC1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atLeast"/>
        <w:ind w:leftChars="200" w:right="0" w:rightChars="0"/>
        <w:jc w:val="both"/>
        <w:textAlignment w:val="auto"/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-SA"/>
        </w:rPr>
        <w:t>（二）科学合理安排支出，“三保”资金有力保障</w:t>
      </w:r>
    </w:p>
    <w:p w14:paraId="0A07BFF4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atLeast"/>
        <w:ind w:right="0" w:rightChars="0" w:firstLine="63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一是严格落实过紧日子要求。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进一步优化支出结构，持续压减一般性支出，确保“三公”经费只减不增。科学合理调度资金，精打细算管好政府“钱袋子”，将落实政府过紧日子要求贯穿财政工作全过程，真正实现以党政机关的“紧日子”换取人民群众的“好日子”。2025年，全市“三公”经费预计同比下降2.3%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二是坚决兜牢“三保”底线。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严格担起“三保”的主体责任，按照“预算安排优先、资金拨付优先、库款保障优先、国家标准优先、民生保障优先”五个优先原则，科学统筹自有财力和上级补助资金，努力增收节支，增强财政保障能力，确保“三保”政策落实到位，全市“三保”预计支出35亿元，实现基本民生足额保障、工资及时发放、机构正常运转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三是全力保障民生福祉。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始终坚持把改善和保障民生作为财政工作的出发点和落脚点，统筹财力优先保障民生事项，围绕义务教育均衡发展，按“两个只增不减”要求加大教育投入，教育支出预计实现同比增长2.2%。全力支持民生项目建设，下达8.2亿元推进43万亩高标准农田建设，投入1.49亿元完成53.4公里供热管道修建；持续完善社会保障体系，发放育儿补贴、计划生育、城乡低保等各类补助资金15.5亿元，有效提高群众生活质量，为社会的稳定与和谐发展奠定了坚实基础。</w:t>
      </w:r>
    </w:p>
    <w:p w14:paraId="0D5F54F4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atLeast"/>
        <w:ind w:leftChars="200" w:right="0" w:rightChars="0"/>
        <w:jc w:val="both"/>
        <w:textAlignment w:val="auto"/>
        <w:rPr>
          <w:rFonts w:hint="default" w:ascii="楷体_GB2312" w:hAnsi="楷体_GB2312" w:eastAsia="楷体_GB2312" w:cs="楷体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-SA"/>
        </w:rPr>
        <w:t>（三）聚焦金融债务风险，筑牢安全发展屏障</w:t>
      </w:r>
    </w:p>
    <w:p w14:paraId="36D9DB56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atLeast"/>
        <w:ind w:right="0" w:rightChars="0" w:firstLine="63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一是防范化解债务风险。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严格实施政府债务规模限额管控，防止通过举借债务上新项目、铺新摊子，坚决遏制债务新增，合理控制政府债务规模和增长速度。通过合理安排预算资金、盘活财政存量资金偿还等措施，集中全市财力稳妥化解存量债务，按时足额还本付息。2025年，全市共偿还政府债务本息13.26亿元，确保还本付息不逾期；同时通过与金融机构谈判协商，继续推动展期、降息，进一步降低存量债务成本，守好债务风险“不爆雷”底线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二是守住金融安全防线。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聚焦全市金融市场秩序规范，强化监管部门协同联动，健全金融风险监测预警机制，保障全市金融机构稳健运营。加大对非法集资线索排查和打击力度，开展防范非法集资宣传教育，提升群众风险识别和防范能力，从源头上遏制非法金融活动滋生蔓延，筑牢庄河金融安全屏障。</w:t>
      </w:r>
    </w:p>
    <w:p w14:paraId="11B9A5A8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atLeast"/>
        <w:ind w:right="0" w:rightChars="0" w:firstLine="632" w:firstLineChars="200"/>
        <w:jc w:val="both"/>
        <w:textAlignment w:val="auto"/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kern w:val="2"/>
          <w:sz w:val="32"/>
          <w:szCs w:val="32"/>
          <w:highlight w:val="none"/>
          <w:lang w:val="en-US" w:eastAsia="zh-CN" w:bidi="ar-SA"/>
        </w:rPr>
        <w:t>（四）持续深化财政改革，健全制度管理体系</w:t>
      </w:r>
    </w:p>
    <w:p w14:paraId="56D2E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highlight w:val="none"/>
          <w:lang w:val="en-US" w:eastAsia="zh-CN" w:bidi="ar-SA"/>
        </w:rPr>
        <w:t>一是全覆盖推进零基预算。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秉持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“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破基数、促统筹、保重点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”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的改革导向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破除支出固化以及预算安排只增不减的局面，依托预算管理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“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一体化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”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系统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，构建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公</w:t>
      </w:r>
      <w:r>
        <w:rPr>
          <w:rFonts w:hint="eastAsia" w:asci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用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经费</w:t>
      </w:r>
      <w:r>
        <w:rPr>
          <w:rFonts w:hint="eastAsia" w:asci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定额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标准化、项目支出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排序</w:t>
      </w:r>
      <w:r>
        <w:rPr>
          <w:rFonts w:hint="eastAsia" w:asci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化的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新型预算模式。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依托项目库夯实预算编制基础，根据项目的轻重缓急进行</w:t>
      </w:r>
      <w:r>
        <w:rPr>
          <w:rFonts w:hint="eastAsia" w:asci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优先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排序，秉持资金随项目流动的原则，建立</w:t>
      </w:r>
      <w:r>
        <w:rPr>
          <w:rFonts w:hint="eastAsia" w:asci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项目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动态调整机制，集中资金办理重要事项，让有限的</w:t>
      </w:r>
      <w:r>
        <w:rPr>
          <w:rFonts w:hint="eastAsia" w:asci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财力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发挥更大的效益</w:t>
      </w:r>
      <w:r>
        <w:rPr>
          <w:rFonts w:hint="eastAsia" w:asci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。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highlight w:val="none"/>
          <w:lang w:val="en-US" w:eastAsia="zh-CN" w:bidi="ar-SA"/>
        </w:rPr>
        <w:t>二是开展国有资产清查盘活。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积极配合市</w:t>
      </w:r>
      <w:r>
        <w:rPr>
          <w:rFonts w:hint="eastAsia" w:ascii="仿宋_GB2312" w:hAnsi="黑体" w:eastAsia="仿宋_GB2312" w:cs="楷体_GB2312"/>
          <w:sz w:val="32"/>
          <w:szCs w:val="32"/>
          <w:highlight w:val="none"/>
          <w:lang w:val="en-US" w:eastAsia="zh-CN"/>
        </w:rPr>
        <w:t>级牵头部门，全方位摸清国有“三资”底数，深度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挖掘国有“三资”的盘活潜力，运用创新手段盘活低效“三资”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。已成功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推动公共停车设施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、海洋牧场（二期）等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项目落地实施，实现盘活收入达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12.8亿元。目前正在谋划推进海上牧场、朱隈水库水环境综合治理等项目的资产盘活工作，预计实现收入5亿元。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highlight w:val="none"/>
          <w:lang w:val="en-US" w:eastAsia="zh-CN" w:bidi="ar-SA"/>
        </w:rPr>
        <w:t>三是加大财会监督力度。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充分发挥财政监督的职能作用，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制定《庄河市乡镇财政资金使用监管问题专项整治工作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方案》，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开展乡村振兴重点领域专项资金的检查行动，发现并整改问题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3</w:t>
      </w:r>
      <w:r>
        <w:rPr>
          <w:rFonts w:hint="eastAsia" w:ascii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个，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通过此次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专项行动，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逐步构建管理规范、运转有序的财政管理新机制，最大程度地节约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财政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>资金，持续提升财政管理水平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eastAsia="zh-CN"/>
        </w:rPr>
        <w:t xml:space="preserve">。 </w:t>
      </w:r>
    </w:p>
    <w:p w14:paraId="5672C4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各位代表，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过去一年，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市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财政工作在市委、市政府的坚强领导以及市人大的监督支持下，紧密围绕全市核心工作内容，积极应对各类困难与挑战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，竭尽全力确保财政运行总体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平稳。然而，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目前仍存在一些亟待解决的突出问题：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财政收入持续增长的根基尚不稳固，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乡镇税收流失现象愈发凸显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；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收支矛盾依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然极为突出，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“三保”等刚性支出逐年递增，现有财力难以提供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持续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有效的保障；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三是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防范化解风险的形势仍然严峻，到期政府债务偿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压力与日俱增，风险防控任务艰巨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针对这些问题，必须采取切实有效的措施，加快解决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进程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 xml:space="preserve">。 </w:t>
      </w:r>
    </w:p>
    <w:p w14:paraId="421840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firstLine="623" w:firstLineChars="197"/>
        <w:textAlignment w:val="auto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三、202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年预算草案</w:t>
      </w:r>
    </w:p>
    <w:p w14:paraId="05E8DF6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32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我市2026年预算编制的指导思想为：坚持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以习近平新时代中国特色社会主义思想为引领，全面贯彻党的二十大和二十届历次全会精神，严格落实中央八项规定及其实施细则的精神，持续纠治“四风”，紧密衔接 2025 年底中央经济工作会议关于财政工作的部署要求，紧紧遵循 “以收定支、收支平衡、增收节支、开源节流” 的预算管理核心准则，牢固树立党政机关过紧日子的理念，大力倡导勤俭节约之风，以有限财力办好各项事业。深入推进零基预算改革，秉持“破基数、保必须”“先谋事、后排钱”的核心原则，建立重大战略任务、基本民生保障、机关日常运转等项目优先级清单，按清单序次统筹资金安排，全面清理低效无效项目、优化存量项目设置，确保分类保障措施落地见效； 加大财政资源与预算统筹整合力度，强化各类资金协同联动，集中财力保障重大事项、重点领域需求；健全全过程绩效管理体系，完善事前评估、事中监控、事后评价的全链条财政监管机制，将绩效评价结果作为预算调整、项目存续的核心依据；强化财会监督与纪律约束，健全财会监督、审计监督、纪检监察监督协同联动机制，持续推进巡察、审计整改常态化长效化，推动预算管理向系统化、精细化、标准化、法治化方向稳步迈进。 </w:t>
      </w:r>
    </w:p>
    <w:p w14:paraId="0FEC50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firstLine="632" w:firstLineChars="20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 xml:space="preserve">遵循上述指导思想，我市2026年预算编制的基本原则如下：一是强化资金统筹，提升保障效能。加大财政预算统筹力度，将本级收入、上级补助、调入资金以及清理盘活的存量资金资产等全部纳入预算管理范围，实现应编尽编。加强一般公共预算、政府性基金预算和国有资本经营预算的统筹衔接，规范各类预算间资金往来与调剂使用，形成预算合力。精准编制年度收入预算，提升收入预测的科学性与准确性，全面增强财政综合保障能力；二是优化支出结构，厉行勤俭节约。牢固树立过紧日子的理念，严格把控一般性支出，实行标准化管控，严控 “三公” 经费支出。加强对支出事项的精细化审核，坚决取消不必要开支、压减低效支出，建立节约型财政保障机制。聚焦基本民生、重点产业、重大项目等核心领域，优化资金配置方向，确保资金用在 “刀刃上”，提升财政资金使用效益；三是防范财政风险，确保可持续发展。立足全市发展大局，统筹考量财力供给与支出需求，坚持尽力而为、量力而行，综合平衡民生政策保障与事业发展长远目标，合理确定保障范围和政策力度，确保支出政策具有可持续性。强化政府债务全生命周期管理，严格控制新增隐性债务，规范新增地方政府债券发行使用，合理安排债务还本付息资金，坚决防范化解债务违约风险，守住不发生系统性财政风险的底线；四是依法依规理财，压实管理责任。全面落实《中华人民共和国预算法》及其实施条例等法律法规和各项政策要求，规范各部门、各单位理财行为。严格遵循“谁主管、谁分配、谁使用、谁负责”的原则，压实部门和单位预算管理主体责任，健全权责对等的责任追究机制。推进预算公开常态化、规范化，扩大公开范围、细化公开内容，主动接受社会监督，提升预算透明度与公信力。 </w:t>
      </w:r>
    </w:p>
    <w:p w14:paraId="64BEDA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32" w:firstLineChars="200"/>
        <w:textAlignment w:val="auto"/>
        <w:rPr>
          <w:rFonts w:ascii="楷体_GB2312" w:hAnsi="仿宋_GB2312" w:eastAsia="楷体_GB2312" w:cs="仿宋_GB2312"/>
          <w:bCs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  <w:highlight w:val="none"/>
        </w:rPr>
        <w:t>（一）一般公共预算</w:t>
      </w:r>
    </w:p>
    <w:p w14:paraId="007591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全市一般公共预算</w:t>
      </w:r>
    </w:p>
    <w:p w14:paraId="2A8A29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0" w:firstLineChars="196"/>
        <w:textAlignment w:val="auto"/>
        <w:rPr>
          <w:rFonts w:hint="eastAsia"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全市一般公共预算收入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576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其中：税收收入2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737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万元；非税收入364,863万元。当年这一收入，加上上级转移支付收入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176,868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万元、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动用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预算稳定调节基金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10,000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万元、调入国有资本经营预算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万元，全市一般公共预算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764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068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</w:t>
      </w:r>
    </w:p>
    <w:p w14:paraId="33304C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left="0" w:leftChars="0" w:firstLine="632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全市一般公共预算支出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689,761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万元，加上地方政府一般债务还本支出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7,700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万元、上解上级支出6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607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全市一般公共预算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支出为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764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068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431B74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市本级一般公共预算</w:t>
      </w:r>
    </w:p>
    <w:p w14:paraId="6C84E6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0" w:firstLineChars="196"/>
        <w:textAlignment w:val="auto"/>
        <w:rPr>
          <w:rFonts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市本级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一般公共预算收入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401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439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其中：税收收入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49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559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万元；非税收入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351,880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万元。当年这一收入，加上上级转移支付收入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176,868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万元、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下级上解收入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37,745万元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动用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预算稳定调节基金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10,000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调入国有资本经营预算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万元，市本级一般公共预算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626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652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</w:t>
      </w:r>
    </w:p>
    <w:p w14:paraId="6870DB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0" w:firstLineChars="196"/>
        <w:textAlignment w:val="auto"/>
        <w:rPr>
          <w:rFonts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市本级一般公共预算支出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535,635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当年这一支出，加上地方政府一般债务还本支出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7,700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万元、上解上级支出6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607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、补助下级支出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16,710万元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，市本级一般公共预算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支出为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626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652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3161A5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北黄海经开区和各街道的一般公共预算</w:t>
      </w:r>
    </w:p>
    <w:p w14:paraId="08B5B7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0" w:firstLineChars="196"/>
        <w:textAlignment w:val="auto"/>
        <w:rPr>
          <w:rFonts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（1）北黄海经开区一般公共预算收入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,000万元；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北黄海经开区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一般公共预算支出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,537万元，加上上解上级支出12,463万元，北黄海经开区一般公共预算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支出为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,000万元。收支相抵，预算平衡。</w:t>
      </w:r>
    </w:p>
    <w:p w14:paraId="7D1D29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0" w:firstLineChars="196"/>
        <w:textAlignment w:val="auto"/>
        <w:rPr>
          <w:rFonts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（2）城关街道一般公共预算收入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379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万元，加上上级补助收入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1,734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万元，城关街道一般公共预算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113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万元；城关街道一般公共预算支出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333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万元，加上上解上级支出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780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万元，城关街道一般公共预算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总支出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113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7F095D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0" w:firstLineChars="196"/>
        <w:textAlignment w:val="auto"/>
        <w:rPr>
          <w:rFonts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（3）兴达街道一般公共预算收入3,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361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万元，加上上级补助收入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523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兴达街道一般公共预算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884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万元；兴达街道一般公共预算支出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681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万元，加上上解上级支出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1,203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万元，兴达街道一般公共预算总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支出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884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389E32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0" w:firstLineChars="196"/>
        <w:textAlignment w:val="auto"/>
        <w:rPr>
          <w:rFonts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（4）新华街道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603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万元，加上上级补助收入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1,035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万元，新华街道一般公共预算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638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万元；新华街道一般公共预算支出3,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575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万元，加上上解上级支出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2,063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万元，新华街道一般公共预算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总支出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638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53CB43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0" w:firstLineChars="196"/>
        <w:textAlignment w:val="auto"/>
        <w:rPr>
          <w:rFonts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（5）昌盛街道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792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万元，加上上级补助收入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482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万元，昌盛街道一般公共预算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274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万元；昌盛街道一般公共预算支出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224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万元，加上上解上级支出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1,050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万元，昌盛街道一般公共预算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总支出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274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185071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0" w:firstLineChars="196"/>
        <w:textAlignment w:val="auto"/>
        <w:rPr>
          <w:rFonts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（6）明阳街道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118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万元，加上上级补助收入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560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万元，明阳街道一般公共预算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678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万元；明阳街道一般公共预算支出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118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万元，加上上解上级支出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560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万元，明阳街道一般公共预算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总支出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678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2ABAE9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32" w:firstLineChars="200"/>
        <w:textAlignment w:val="auto"/>
        <w:rPr>
          <w:rFonts w:ascii="楷体_GB2312" w:hAnsi="仿宋_GB2312" w:eastAsia="楷体_GB2312" w:cs="仿宋_GB2312"/>
          <w:bCs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  <w:highlight w:val="none"/>
        </w:rPr>
        <w:t>（二）政府性基金预算</w:t>
      </w:r>
    </w:p>
    <w:p w14:paraId="5DFAA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全市政府性基金预算</w:t>
      </w:r>
    </w:p>
    <w:p w14:paraId="2AB8AE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3" w:firstLineChars="197"/>
        <w:textAlignment w:val="auto"/>
        <w:rPr>
          <w:rFonts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全市政府性基金预算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收入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（乡镇和街道无政府性基金预算）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106,136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主要包括土地出让金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收入91,770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万元、城市基础设施配套费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收入2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,000万元、污水处理费收入1,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00万元、专项债务对应项目专项收入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11,166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万元；全市政府性基金预算支出104,836万元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主要包括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国有土地使用权出让收入安排支出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39,307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万元、城市基础设施配套费支出2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,000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万元、污水处理费支出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 xml:space="preserve"> 1,200 万元、地方政府专项债券付息及发行费用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支出62,329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加上地方政府专项债务还本支出1,3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万元，全市政府性基金预算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106,136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027DF9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市本级政府性基金预算</w:t>
      </w:r>
    </w:p>
    <w:p w14:paraId="0C7B4D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3" w:firstLineChars="197"/>
        <w:textAlignment w:val="auto"/>
        <w:rPr>
          <w:rFonts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市本级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政府性基金预算收入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74,107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万元。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主要包括土地出让金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收入60,907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万元、城市基础设施配套费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收入2,0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00万元、污水处理费收入1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,2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00万元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、专项债务对应项目专项收入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10,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0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00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；市本级政府性基金预算支出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72,807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主要包括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国有土地使用权出让收入安排支出31,307万元、城市基础设施配套费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支出2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,000万元、污水处理费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 xml:space="preserve"> 1,200 万元、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地方政府专项债券付息及发行费用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支出38,300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，加上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地方政府专项债务还本支出1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市本级政府性基金预算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总支出74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107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4E1B5B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北黄海经开区政府性基金预算</w:t>
      </w:r>
    </w:p>
    <w:p w14:paraId="17A976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firstLine="632" w:firstLineChars="200"/>
        <w:textAlignment w:val="auto"/>
        <w:rPr>
          <w:rFonts w:ascii="仿宋_GB2312" w:hAnsi="楷体_GB2312" w:cs="楷体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北黄海经开区政府性基金预算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32,029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万元，包括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国有土地使用权出让收入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30,863万元、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专项债务对应项目专项收入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1,166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万元；北黄海经开区政府性基金预算支出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32,029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万元，主要包括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国有土地使用权出让收入安排的支出8,000万元、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地方政府专项债券付息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及发行费用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24,029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0125CC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32" w:firstLineChars="200"/>
        <w:textAlignment w:val="auto"/>
        <w:rPr>
          <w:rFonts w:ascii="楷体_GB2312" w:hAnsi="仿宋_GB2312" w:eastAsia="楷体_GB2312" w:cs="仿宋_GB2312"/>
          <w:bCs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  <w:highlight w:val="none"/>
        </w:rPr>
        <w:t>（三）国有资本经营预算</w:t>
      </w:r>
    </w:p>
    <w:p w14:paraId="3C9180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20" w:firstLineChars="196"/>
        <w:textAlignment w:val="auto"/>
        <w:rPr>
          <w:rFonts w:hint="eastAsia" w:ascii="仿宋_GB2312" w:hAnsi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按照“以收定支，不列赤字”原则编制（均为市本级），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全市国有资本经营预算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万元，其中：大连北黄海实业发展集团有限公司260万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元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，大连黄海港务有限公司170万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元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，大连融强投资有限公司80万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元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，庄河市农粮集团有限责任公司80万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元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，庄河市企业信用融资担保有限公司10万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元。加上转移性收入34万元，全市国有资本经营预算总收入634万元。全市国有资本经营预算支出34万元，剩余600万元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全部调入一般公共预算。</w:t>
      </w:r>
    </w:p>
    <w:p w14:paraId="7810DA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32" w:firstLineChars="200"/>
        <w:textAlignment w:val="auto"/>
        <w:rPr>
          <w:rFonts w:ascii="楷体_GB2312" w:hAnsi="仿宋_GB2312" w:eastAsia="楷体_GB2312" w:cs="仿宋_GB2312"/>
          <w:bCs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  <w:highlight w:val="none"/>
        </w:rPr>
        <w:t>（四）社会保险基金预算</w:t>
      </w:r>
    </w:p>
    <w:p w14:paraId="38BAD3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32" w:firstLineChars="200"/>
        <w:textAlignment w:val="auto"/>
        <w:rPr>
          <w:rFonts w:ascii="仿宋_GB2312" w:hAnsi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按照我市统筹层次与保障要求编制（均为市本级），我市负责统筹的是机关事业单位养老保险基金，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全市社会保险基金预算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114,800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万元，其中：养老保险缴费收入2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0 万元、财政补助收入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83,810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万元（即收支逆差）、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利息收入20万元、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其他收入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1,470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万元；全市社会保险基金预算支出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114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,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800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万元。收支相抵，预算平衡。</w:t>
      </w:r>
    </w:p>
    <w:p w14:paraId="3CD62D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32" w:firstLineChars="200"/>
        <w:textAlignment w:val="auto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、202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年财政重点工作</w:t>
      </w:r>
    </w:p>
    <w:p w14:paraId="5AC743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32" w:firstLineChars="200"/>
        <w:textAlignment w:val="auto"/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年，我们将认真贯彻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委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、市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政府决策部署，积极发挥财政职能作用，聚焦稳经济、促发展、惠民生、防风险各项工作，加强资金统筹保障，调整优化支出结构，提升政策工具效能，推动我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市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经济社会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高质量发展取得显著成效</w:t>
      </w:r>
      <w:r>
        <w:rPr>
          <w:rFonts w:hint="eastAsia" w:ascii="仿宋_GB2312" w:hAnsi="仿宋_GB2312" w:cs="仿宋_GB2312"/>
          <w:sz w:val="32"/>
          <w:szCs w:val="32"/>
          <w:highlight w:val="none"/>
        </w:rPr>
        <w:t>。</w:t>
      </w:r>
    </w:p>
    <w:p w14:paraId="1256F44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atLeast"/>
        <w:ind w:firstLine="63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highlight w:val="none"/>
          <w:shd w:val="clear" w:fill="FFFFFF"/>
          <w:lang w:eastAsia="zh-CN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  <w:highlight w:val="none"/>
          <w:lang w:val="en-US" w:eastAsia="zh-CN" w:bidi="ar-SA"/>
        </w:rPr>
        <w:t>（一）深挖财源培植潜力，提升财政保障能力。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一是厚植财源建设根基。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聚焦战略性新兴产业升级、产业链龙头企业招商引资等关键领域，深入推进财源建设行动，注重投入产出效益与财税贡献，发挥财政资金杠杆放大作用，推动产业扶持与财源建设深度融合，加大经济发展投入力度，吸引优质企业入驻，持续夯实财源基础。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二是全力抓好收入组织。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锚定2026年一般公共预算收入目标，紧盯重点税源和新增税源企业经营状况，强化服务保障，稳定税源增长态势。加强非税收入征管，压实部门责任，推进闲置资产资源盘活，确保非税收入应收尽收。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三是大力促进土地出让收入提升。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创造土地出让条件，做好土地收储与挂牌，积极推进土地出让工作，努力实现土地经济效益的最大化。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四是积极向上争取资金。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建立健全向上争取工作机制，梳理政策资金争取清单，精准把握国家政策导向与支持重点，明确责任分工，全力争取财力性补助、专项债券、超长期特别国债及各类竞争性分配项目资金。</w:t>
      </w:r>
    </w:p>
    <w:p w14:paraId="0E0FB5E0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atLeast"/>
        <w:ind w:left="0" w:leftChars="0" w:right="0" w:rightChars="0" w:firstLine="632" w:firstLineChars="200"/>
        <w:jc w:val="left"/>
        <w:textAlignment w:val="auto"/>
        <w:rPr>
          <w:rFonts w:hint="eastAsia" w:eastAsia="宋体"/>
          <w:highlight w:val="none"/>
          <w:lang w:eastAsia="zh-CN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  <w:highlight w:val="none"/>
          <w:lang w:val="en-US" w:eastAsia="zh-CN" w:bidi="ar-SA"/>
        </w:rPr>
        <w:t>（二）秉持过紧日子理念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  <w:highlight w:val="none"/>
          <w:lang w:val="en-US" w:eastAsia="zh-CN" w:bidi="ar-SA"/>
        </w:rPr>
        <w:t>兜牢民生保障底线。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一是增强预算约束，优化支出结构。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坚持民生优先导向，统筹上级补助与本级配套资金，稳定民生支出占比，落实各项民生政策。强化预算执行刚性约束，严把支出关口，坚决压减低效无效资金，切实提升财政资金使用效益。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二是坚持常态化过紧日子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。从严控制一般性支出和 “三公” 经费，强化日常监管，从严从紧压缩非必要开支。严禁违规追加一般性支出，严禁挤占挪用专项资金，严禁出台溯及以前年度的增支政策。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三是强化重点民生保障。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持续加大教育投入，推动义务教育优质均衡发展、职业教育提质培优、学前教育普及普惠，落实学生资助政策，减轻困难家庭教育负担。完善社会保障体系，增强医疗卫生服务能力，确保退休人员基本养老金按时足额发放。做好低保对象、特困人员、残疾人等困难群体兜底保障，筑牢社会保障 “安全网”。全面落实强农惠农财政政策，提升惠民惠农补贴发放精准度与及时性。</w:t>
      </w:r>
    </w:p>
    <w:p w14:paraId="431B0F6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atLeas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  <w:highlight w:val="none"/>
          <w:lang w:val="en-US" w:eastAsia="zh-CN" w:bidi="ar-SA"/>
        </w:rPr>
        <w:t>（三）严控债务风险隐患，筑牢财政安全防线。一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是夯实债务数据监管。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依托债务管理系统，按月开展债务核查与动态监测，做好数据统计分析。按照先到期、高利率、高风险等不同标准，结合政策导向，及时调整债务资金的使用安排，确保债务资金优先用于偿还高风险债务，从而降低债务风险水平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二是强化财政运行风险研判。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立足财政收支形势，精准研判财政运行趋势，开展财政可承受能力评估，采取切实有效的增收节支举措，确保各项支出在财政可承受范围之内，保障财政稳定运行。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三是深化“三保”风险审查路径。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编制“三保”保障清单，确保“三保”支出在预算安排中的优先序位，实现“三保”支出的全额保障，杜绝预算缺口。制定“三保”风险保障预案，依托预算管理“一体化”系统，强化“三保”动态监控，有效防范“三保”风险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四是妥善化解存量债务。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 xml:space="preserve">集中财政资源，制定切实可行的偿债计划，明确偿债时间节点。通过增加财政收入、盘活存量资产等多种途径筹集偿债资金，确保存量债务按时足额清偿，规避债务违约风险。同时，严格把控新增债务规模，规范政府举债行为，坚决遏制隐性债务增长，从源头上防范债务风险。 </w:t>
      </w:r>
    </w:p>
    <w:p w14:paraId="5901EA1E">
      <w:pPr>
        <w:ind w:firstLine="632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  <w:highlight w:val="none"/>
          <w:lang w:val="en-US" w:eastAsia="zh-CN" w:bidi="ar-SA"/>
        </w:rPr>
        <w:t>（四）</w:t>
      </w:r>
      <w:r>
        <w:rPr>
          <w:rFonts w:hint="eastAsia" w:ascii="楷体" w:hAnsi="楷体" w:eastAsia="楷体" w:cs="楷体"/>
          <w:sz w:val="32"/>
          <w:szCs w:val="32"/>
          <w:highlight w:val="none"/>
        </w:rPr>
        <w:t>深化零基预算改革，健全国企管理体系</w:t>
      </w:r>
      <w:r>
        <w:rPr>
          <w:rFonts w:hint="eastAsia" w:ascii="楷体" w:hAnsi="楷体" w:eastAsia="楷体" w:cs="楷体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一是稳步推进零基预算工作。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在2025年零基预算改革工作的基础上，进一步深化零基预算改革，确保各项工作精准落地、扎实推进。以零为起始点，从实际需求出发，同时结合财力状况开展年度支出预算编制，进一步把预算编制得更加</w:t>
      </w:r>
      <w:bookmarkStart w:id="0" w:name="_GoBack"/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详实</w:t>
      </w:r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、精细、准确，切实提高财政资金使用效益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二是深入推进预算绩效管理工作</w:t>
      </w:r>
      <w:r>
        <w:rPr>
          <w:rFonts w:hint="eastAsia" w:ascii="仿宋_GB2312" w:hAnsi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牢固树立“花钱必问效，无效必问责”的绩效理念，加快构建覆盖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全过程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的预算绩效管理体系。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逐步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建立健全约束与激励并行的结果应用机制，规范绩效评价体系，充分发挥绩效考核的导向作用，深入实施预算绩效管理。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三是持续推进国有企业改革。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 xml:space="preserve">秉持授权与监管相结合、放活与管好相统一的原则，完成市属国有企业负责人 2025 年度经营业绩考核核定，签订 2026 年度经营业绩责任书。落实以管资本为主的国有资产监管要求，强化国有企业财务动态监管，按规定做好财务状况统计上报工作，推动国有企业完善现代企业制度，构建科学有效的公司治理机制。 </w:t>
      </w:r>
    </w:p>
    <w:p w14:paraId="7FA2D0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firstLine="632" w:firstLineChars="200"/>
        <w:textAlignment w:val="auto"/>
        <w:rPr>
          <w:rFonts w:hint="eastAsia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各位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代表，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岁序更迭，华章日新；聚力前行，征程再启。202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年作为“十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五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五”规划的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开局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之年，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我们将在市委、市政府的正确引领下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，悉心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倾听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各位代表的意见与建议，励精图治、奋发进取，扎实推进财政发展各项工作，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力争完成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全年财政预算目标与“三保”任务，着力稳固全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经济大盘，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为高标准打造具有区域引领性的绿色经济发展实践区、高质量建成北黄海生态型现代化海滨城市贡献财政力量！ </w:t>
      </w:r>
    </w:p>
    <w:p w14:paraId="17CACB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ind w:left="0" w:leftChars="0" w:firstLine="632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以上报告，请审议。</w:t>
      </w:r>
    </w:p>
    <w:p w14:paraId="7CDFB402">
      <w:pPr>
        <w:adjustRightInd w:val="0"/>
        <w:snapToGrid w:val="0"/>
        <w:spacing w:line="600" w:lineRule="exact"/>
        <w:ind w:firstLine="632" w:firstLineChars="200"/>
        <w:rPr>
          <w:rFonts w:hint="eastAsia" w:ascii="仿宋_GB2312" w:hAnsi="仿宋_GB2312" w:cs="仿宋_GB2312"/>
          <w:highlight w:val="none"/>
        </w:rPr>
      </w:pPr>
    </w:p>
    <w:p w14:paraId="22AD6D1F">
      <w:pPr>
        <w:adjustRightInd w:val="0"/>
        <w:snapToGrid w:val="0"/>
        <w:spacing w:line="600" w:lineRule="exact"/>
        <w:ind w:firstLine="632" w:firstLineChars="200"/>
        <w:rPr>
          <w:rFonts w:hint="eastAsia" w:ascii="仿宋_GB2312" w:hAnsi="仿宋_GB2312" w:cs="仿宋_GB2312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1361" w:gutter="0"/>
      <w:cols w:space="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40F40F-878B-4BC3-8051-D82FA75A3A6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960485A-E572-45B7-9529-323DDBDFFDF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A928E33-B1F5-48C9-A0AE-9EBF00A9BB7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92918FC2-EEF2-424D-997F-A819867D7B9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EC6470D-58D7-4D4B-A0DF-BAC7CF61F9A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E8424775-7D49-4B14-998C-37E20EA9D6B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5F1B7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5F8AD80">
                          <w:pPr>
                            <w:pStyle w:val="5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15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F8AD80">
                    <w:pPr>
                      <w:pStyle w:val="5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15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154360"/>
    <w:multiLevelType w:val="singleLevel"/>
    <w:tmpl w:val="0615436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0"/>
  <w:doNotHyphenateCaps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4NWYzMDQ0NjQ1ZTE0MTQ1M2FlZDVjODUxMDdjNjQifQ=="/>
  </w:docVars>
  <w:rsids>
    <w:rsidRoot w:val="00172A27"/>
    <w:rsid w:val="000016FB"/>
    <w:rsid w:val="00001754"/>
    <w:rsid w:val="00003D90"/>
    <w:rsid w:val="00004CC2"/>
    <w:rsid w:val="000051FB"/>
    <w:rsid w:val="00005637"/>
    <w:rsid w:val="00005A66"/>
    <w:rsid w:val="00006576"/>
    <w:rsid w:val="0000784B"/>
    <w:rsid w:val="00012428"/>
    <w:rsid w:val="00013D14"/>
    <w:rsid w:val="000172F3"/>
    <w:rsid w:val="000236F4"/>
    <w:rsid w:val="00031268"/>
    <w:rsid w:val="00034A95"/>
    <w:rsid w:val="000405F3"/>
    <w:rsid w:val="00040E6D"/>
    <w:rsid w:val="000430D9"/>
    <w:rsid w:val="00045C19"/>
    <w:rsid w:val="000462E7"/>
    <w:rsid w:val="000465F0"/>
    <w:rsid w:val="00055A43"/>
    <w:rsid w:val="00063FD9"/>
    <w:rsid w:val="00067656"/>
    <w:rsid w:val="0007082E"/>
    <w:rsid w:val="00073D6A"/>
    <w:rsid w:val="000762B3"/>
    <w:rsid w:val="00080A5F"/>
    <w:rsid w:val="000819FE"/>
    <w:rsid w:val="00084CF6"/>
    <w:rsid w:val="000878D7"/>
    <w:rsid w:val="000926CD"/>
    <w:rsid w:val="00093B76"/>
    <w:rsid w:val="000946FD"/>
    <w:rsid w:val="00095A7D"/>
    <w:rsid w:val="000A1287"/>
    <w:rsid w:val="000A1A3D"/>
    <w:rsid w:val="000A4373"/>
    <w:rsid w:val="000A4F70"/>
    <w:rsid w:val="000A5665"/>
    <w:rsid w:val="000A66D5"/>
    <w:rsid w:val="000B574C"/>
    <w:rsid w:val="000B5C92"/>
    <w:rsid w:val="000C0F03"/>
    <w:rsid w:val="000C3006"/>
    <w:rsid w:val="000C77AC"/>
    <w:rsid w:val="000D0A50"/>
    <w:rsid w:val="000D37B1"/>
    <w:rsid w:val="000D7EA1"/>
    <w:rsid w:val="000E20AD"/>
    <w:rsid w:val="000E43BC"/>
    <w:rsid w:val="000E6B66"/>
    <w:rsid w:val="000F0146"/>
    <w:rsid w:val="000F146C"/>
    <w:rsid w:val="000F176C"/>
    <w:rsid w:val="000F35EF"/>
    <w:rsid w:val="000F58F6"/>
    <w:rsid w:val="00100857"/>
    <w:rsid w:val="00100FDC"/>
    <w:rsid w:val="00101C26"/>
    <w:rsid w:val="00104BCC"/>
    <w:rsid w:val="00105715"/>
    <w:rsid w:val="001112AA"/>
    <w:rsid w:val="00111598"/>
    <w:rsid w:val="00120124"/>
    <w:rsid w:val="00120BB8"/>
    <w:rsid w:val="00124B7C"/>
    <w:rsid w:val="00125A48"/>
    <w:rsid w:val="00130F22"/>
    <w:rsid w:val="001320D8"/>
    <w:rsid w:val="0013283E"/>
    <w:rsid w:val="001337FF"/>
    <w:rsid w:val="00137DA9"/>
    <w:rsid w:val="00142422"/>
    <w:rsid w:val="001479FA"/>
    <w:rsid w:val="001527DA"/>
    <w:rsid w:val="00155B1A"/>
    <w:rsid w:val="00155B3D"/>
    <w:rsid w:val="00157792"/>
    <w:rsid w:val="0016363E"/>
    <w:rsid w:val="00164E98"/>
    <w:rsid w:val="00166BC6"/>
    <w:rsid w:val="0017163C"/>
    <w:rsid w:val="0017248A"/>
    <w:rsid w:val="001753EB"/>
    <w:rsid w:val="00177A6A"/>
    <w:rsid w:val="00177E55"/>
    <w:rsid w:val="0018274C"/>
    <w:rsid w:val="00184276"/>
    <w:rsid w:val="00186351"/>
    <w:rsid w:val="00187F40"/>
    <w:rsid w:val="00190E51"/>
    <w:rsid w:val="0019130B"/>
    <w:rsid w:val="00192C88"/>
    <w:rsid w:val="00193144"/>
    <w:rsid w:val="001974C0"/>
    <w:rsid w:val="001A2ED5"/>
    <w:rsid w:val="001A4716"/>
    <w:rsid w:val="001A4EA6"/>
    <w:rsid w:val="001B1297"/>
    <w:rsid w:val="001B394F"/>
    <w:rsid w:val="001C1E63"/>
    <w:rsid w:val="001C2561"/>
    <w:rsid w:val="001C3989"/>
    <w:rsid w:val="001C4BA2"/>
    <w:rsid w:val="001C64B2"/>
    <w:rsid w:val="001C67D2"/>
    <w:rsid w:val="001C702B"/>
    <w:rsid w:val="001D0DD5"/>
    <w:rsid w:val="001D2270"/>
    <w:rsid w:val="001D2EEB"/>
    <w:rsid w:val="001E066A"/>
    <w:rsid w:val="001E57AE"/>
    <w:rsid w:val="001E7F06"/>
    <w:rsid w:val="001F440C"/>
    <w:rsid w:val="00204332"/>
    <w:rsid w:val="00206B43"/>
    <w:rsid w:val="00210054"/>
    <w:rsid w:val="002115E7"/>
    <w:rsid w:val="00211F86"/>
    <w:rsid w:val="00213542"/>
    <w:rsid w:val="0021669E"/>
    <w:rsid w:val="002174F9"/>
    <w:rsid w:val="00234F5D"/>
    <w:rsid w:val="00234FFE"/>
    <w:rsid w:val="0023726B"/>
    <w:rsid w:val="00241EF6"/>
    <w:rsid w:val="00242712"/>
    <w:rsid w:val="00247D1C"/>
    <w:rsid w:val="0025062D"/>
    <w:rsid w:val="00250FD8"/>
    <w:rsid w:val="0025120E"/>
    <w:rsid w:val="00254829"/>
    <w:rsid w:val="0025560D"/>
    <w:rsid w:val="00256618"/>
    <w:rsid w:val="00257ABC"/>
    <w:rsid w:val="00261933"/>
    <w:rsid w:val="00262D55"/>
    <w:rsid w:val="002638B3"/>
    <w:rsid w:val="00270815"/>
    <w:rsid w:val="00277CBE"/>
    <w:rsid w:val="00277ED1"/>
    <w:rsid w:val="00280604"/>
    <w:rsid w:val="00283656"/>
    <w:rsid w:val="00290789"/>
    <w:rsid w:val="002918CF"/>
    <w:rsid w:val="002932DE"/>
    <w:rsid w:val="002942AC"/>
    <w:rsid w:val="00294458"/>
    <w:rsid w:val="00294479"/>
    <w:rsid w:val="00294B57"/>
    <w:rsid w:val="0029713C"/>
    <w:rsid w:val="002A0F11"/>
    <w:rsid w:val="002A0FDA"/>
    <w:rsid w:val="002A2BD0"/>
    <w:rsid w:val="002A2EF9"/>
    <w:rsid w:val="002A3DCC"/>
    <w:rsid w:val="002A5295"/>
    <w:rsid w:val="002A5BBF"/>
    <w:rsid w:val="002A6A6F"/>
    <w:rsid w:val="002A6F97"/>
    <w:rsid w:val="002B06CF"/>
    <w:rsid w:val="002B64C6"/>
    <w:rsid w:val="002C01E9"/>
    <w:rsid w:val="002D1FF8"/>
    <w:rsid w:val="002D22F6"/>
    <w:rsid w:val="002D40B0"/>
    <w:rsid w:val="002D5319"/>
    <w:rsid w:val="002E5750"/>
    <w:rsid w:val="002E59E1"/>
    <w:rsid w:val="002F12BE"/>
    <w:rsid w:val="002F2A6D"/>
    <w:rsid w:val="00300436"/>
    <w:rsid w:val="0030109D"/>
    <w:rsid w:val="003069FF"/>
    <w:rsid w:val="00307094"/>
    <w:rsid w:val="00307539"/>
    <w:rsid w:val="0031052C"/>
    <w:rsid w:val="00314651"/>
    <w:rsid w:val="0031510B"/>
    <w:rsid w:val="00321286"/>
    <w:rsid w:val="00321E29"/>
    <w:rsid w:val="003220A4"/>
    <w:rsid w:val="00322360"/>
    <w:rsid w:val="00326A40"/>
    <w:rsid w:val="00327367"/>
    <w:rsid w:val="0033118E"/>
    <w:rsid w:val="00332B9E"/>
    <w:rsid w:val="00335574"/>
    <w:rsid w:val="00352883"/>
    <w:rsid w:val="00353F67"/>
    <w:rsid w:val="00362503"/>
    <w:rsid w:val="003663CC"/>
    <w:rsid w:val="003664B7"/>
    <w:rsid w:val="003706AC"/>
    <w:rsid w:val="00370B5A"/>
    <w:rsid w:val="003712B5"/>
    <w:rsid w:val="003723A3"/>
    <w:rsid w:val="003734BB"/>
    <w:rsid w:val="00373992"/>
    <w:rsid w:val="003819BC"/>
    <w:rsid w:val="003850D8"/>
    <w:rsid w:val="0038616E"/>
    <w:rsid w:val="003876FC"/>
    <w:rsid w:val="003879F2"/>
    <w:rsid w:val="0039184D"/>
    <w:rsid w:val="003933DA"/>
    <w:rsid w:val="00396449"/>
    <w:rsid w:val="00396EE4"/>
    <w:rsid w:val="003A1566"/>
    <w:rsid w:val="003A30C5"/>
    <w:rsid w:val="003A71DA"/>
    <w:rsid w:val="003B1B7C"/>
    <w:rsid w:val="003B2CF4"/>
    <w:rsid w:val="003C04B2"/>
    <w:rsid w:val="003C096A"/>
    <w:rsid w:val="003D15A2"/>
    <w:rsid w:val="003D35D8"/>
    <w:rsid w:val="003D434C"/>
    <w:rsid w:val="003D58D7"/>
    <w:rsid w:val="003E1389"/>
    <w:rsid w:val="003E3ADD"/>
    <w:rsid w:val="003E4E2C"/>
    <w:rsid w:val="003F07CE"/>
    <w:rsid w:val="003F5CA4"/>
    <w:rsid w:val="003F5F2A"/>
    <w:rsid w:val="00400E7E"/>
    <w:rsid w:val="00401516"/>
    <w:rsid w:val="0040183B"/>
    <w:rsid w:val="0040335B"/>
    <w:rsid w:val="00403760"/>
    <w:rsid w:val="0040577D"/>
    <w:rsid w:val="00407533"/>
    <w:rsid w:val="00407C82"/>
    <w:rsid w:val="0041075E"/>
    <w:rsid w:val="004136B6"/>
    <w:rsid w:val="00414D2C"/>
    <w:rsid w:val="00415721"/>
    <w:rsid w:val="004206A1"/>
    <w:rsid w:val="004257B1"/>
    <w:rsid w:val="004263C3"/>
    <w:rsid w:val="004318CB"/>
    <w:rsid w:val="00436918"/>
    <w:rsid w:val="0044105C"/>
    <w:rsid w:val="004419F4"/>
    <w:rsid w:val="0044415E"/>
    <w:rsid w:val="004547B8"/>
    <w:rsid w:val="00457AF1"/>
    <w:rsid w:val="00460C5F"/>
    <w:rsid w:val="00460D3C"/>
    <w:rsid w:val="004627C3"/>
    <w:rsid w:val="00463DC8"/>
    <w:rsid w:val="00466DB2"/>
    <w:rsid w:val="00467DAA"/>
    <w:rsid w:val="00467F94"/>
    <w:rsid w:val="00470DEF"/>
    <w:rsid w:val="00472BBF"/>
    <w:rsid w:val="00477914"/>
    <w:rsid w:val="00481629"/>
    <w:rsid w:val="0048698D"/>
    <w:rsid w:val="00491AFB"/>
    <w:rsid w:val="00491F22"/>
    <w:rsid w:val="004933FA"/>
    <w:rsid w:val="00495582"/>
    <w:rsid w:val="004A091F"/>
    <w:rsid w:val="004A3E87"/>
    <w:rsid w:val="004A6C1F"/>
    <w:rsid w:val="004B17E2"/>
    <w:rsid w:val="004B559A"/>
    <w:rsid w:val="004B5F06"/>
    <w:rsid w:val="004B6D7B"/>
    <w:rsid w:val="004C0279"/>
    <w:rsid w:val="004C05D2"/>
    <w:rsid w:val="004C40AC"/>
    <w:rsid w:val="004D0F21"/>
    <w:rsid w:val="004D4792"/>
    <w:rsid w:val="004D565E"/>
    <w:rsid w:val="004E30E0"/>
    <w:rsid w:val="004E386C"/>
    <w:rsid w:val="004E77A8"/>
    <w:rsid w:val="004F0F39"/>
    <w:rsid w:val="004F480A"/>
    <w:rsid w:val="004F49AC"/>
    <w:rsid w:val="004F72F7"/>
    <w:rsid w:val="005071A1"/>
    <w:rsid w:val="00510757"/>
    <w:rsid w:val="00511F65"/>
    <w:rsid w:val="00513941"/>
    <w:rsid w:val="00513E7B"/>
    <w:rsid w:val="00514EF2"/>
    <w:rsid w:val="005250ED"/>
    <w:rsid w:val="005260BA"/>
    <w:rsid w:val="005265C1"/>
    <w:rsid w:val="00532718"/>
    <w:rsid w:val="00532989"/>
    <w:rsid w:val="00533F33"/>
    <w:rsid w:val="00535998"/>
    <w:rsid w:val="005364E6"/>
    <w:rsid w:val="00541780"/>
    <w:rsid w:val="00542D23"/>
    <w:rsid w:val="00547CE8"/>
    <w:rsid w:val="00550478"/>
    <w:rsid w:val="00550827"/>
    <w:rsid w:val="0055191A"/>
    <w:rsid w:val="00551CC7"/>
    <w:rsid w:val="00552A63"/>
    <w:rsid w:val="00552D41"/>
    <w:rsid w:val="00553BFD"/>
    <w:rsid w:val="005568C1"/>
    <w:rsid w:val="005571E5"/>
    <w:rsid w:val="0056020B"/>
    <w:rsid w:val="00564B9A"/>
    <w:rsid w:val="00565D8D"/>
    <w:rsid w:val="00565EC3"/>
    <w:rsid w:val="0056606F"/>
    <w:rsid w:val="005660FB"/>
    <w:rsid w:val="00570D57"/>
    <w:rsid w:val="00572874"/>
    <w:rsid w:val="005744E0"/>
    <w:rsid w:val="00582A70"/>
    <w:rsid w:val="00586465"/>
    <w:rsid w:val="00591C37"/>
    <w:rsid w:val="005949F9"/>
    <w:rsid w:val="00594B54"/>
    <w:rsid w:val="00596022"/>
    <w:rsid w:val="005963AD"/>
    <w:rsid w:val="005965E5"/>
    <w:rsid w:val="005A0277"/>
    <w:rsid w:val="005A0BAD"/>
    <w:rsid w:val="005A598C"/>
    <w:rsid w:val="005A604E"/>
    <w:rsid w:val="005A6BE9"/>
    <w:rsid w:val="005B00CA"/>
    <w:rsid w:val="005B14F6"/>
    <w:rsid w:val="005B4C73"/>
    <w:rsid w:val="005B6925"/>
    <w:rsid w:val="005C35FD"/>
    <w:rsid w:val="005C425D"/>
    <w:rsid w:val="005D357B"/>
    <w:rsid w:val="005E0126"/>
    <w:rsid w:val="005E2BB6"/>
    <w:rsid w:val="005E3C3E"/>
    <w:rsid w:val="005E3E1A"/>
    <w:rsid w:val="005E6858"/>
    <w:rsid w:val="005E7029"/>
    <w:rsid w:val="005E73A3"/>
    <w:rsid w:val="005F1247"/>
    <w:rsid w:val="005F3069"/>
    <w:rsid w:val="005F70C0"/>
    <w:rsid w:val="006021F5"/>
    <w:rsid w:val="00607506"/>
    <w:rsid w:val="0060754B"/>
    <w:rsid w:val="0061010D"/>
    <w:rsid w:val="00610F67"/>
    <w:rsid w:val="00611742"/>
    <w:rsid w:val="0061487B"/>
    <w:rsid w:val="00620E6E"/>
    <w:rsid w:val="00623198"/>
    <w:rsid w:val="00623D62"/>
    <w:rsid w:val="00624F95"/>
    <w:rsid w:val="006258A7"/>
    <w:rsid w:val="00626CB8"/>
    <w:rsid w:val="00632F02"/>
    <w:rsid w:val="00633F85"/>
    <w:rsid w:val="006347A6"/>
    <w:rsid w:val="00636BD4"/>
    <w:rsid w:val="00636E5C"/>
    <w:rsid w:val="00637594"/>
    <w:rsid w:val="0064305D"/>
    <w:rsid w:val="00644CF1"/>
    <w:rsid w:val="00647420"/>
    <w:rsid w:val="0065162D"/>
    <w:rsid w:val="00656067"/>
    <w:rsid w:val="006566FD"/>
    <w:rsid w:val="00661D3B"/>
    <w:rsid w:val="00663E35"/>
    <w:rsid w:val="006642A5"/>
    <w:rsid w:val="00665AA1"/>
    <w:rsid w:val="00673382"/>
    <w:rsid w:val="0067393C"/>
    <w:rsid w:val="0068240E"/>
    <w:rsid w:val="006828A3"/>
    <w:rsid w:val="00687D80"/>
    <w:rsid w:val="006904BA"/>
    <w:rsid w:val="00691CDE"/>
    <w:rsid w:val="00693304"/>
    <w:rsid w:val="0069564B"/>
    <w:rsid w:val="00695943"/>
    <w:rsid w:val="00697541"/>
    <w:rsid w:val="006A442A"/>
    <w:rsid w:val="006C0966"/>
    <w:rsid w:val="006D3B17"/>
    <w:rsid w:val="006D3C53"/>
    <w:rsid w:val="006D4368"/>
    <w:rsid w:val="006D4D6F"/>
    <w:rsid w:val="006D5EDA"/>
    <w:rsid w:val="006E1573"/>
    <w:rsid w:val="006E5000"/>
    <w:rsid w:val="006F72EF"/>
    <w:rsid w:val="007061D2"/>
    <w:rsid w:val="007111AC"/>
    <w:rsid w:val="00721F32"/>
    <w:rsid w:val="007229A2"/>
    <w:rsid w:val="0073088C"/>
    <w:rsid w:val="00731BBF"/>
    <w:rsid w:val="007321F9"/>
    <w:rsid w:val="00733455"/>
    <w:rsid w:val="00736C89"/>
    <w:rsid w:val="00737056"/>
    <w:rsid w:val="0073791D"/>
    <w:rsid w:val="00740963"/>
    <w:rsid w:val="00740B54"/>
    <w:rsid w:val="00740D22"/>
    <w:rsid w:val="0074339F"/>
    <w:rsid w:val="00745B0C"/>
    <w:rsid w:val="007475EC"/>
    <w:rsid w:val="00751509"/>
    <w:rsid w:val="00752875"/>
    <w:rsid w:val="007558B2"/>
    <w:rsid w:val="00760AC4"/>
    <w:rsid w:val="00760CAD"/>
    <w:rsid w:val="007626C1"/>
    <w:rsid w:val="00763AC3"/>
    <w:rsid w:val="0076746A"/>
    <w:rsid w:val="00767906"/>
    <w:rsid w:val="00771257"/>
    <w:rsid w:val="0077280D"/>
    <w:rsid w:val="00773EBD"/>
    <w:rsid w:val="0077407E"/>
    <w:rsid w:val="00775357"/>
    <w:rsid w:val="00775375"/>
    <w:rsid w:val="0077784E"/>
    <w:rsid w:val="00781454"/>
    <w:rsid w:val="0078239E"/>
    <w:rsid w:val="007844CD"/>
    <w:rsid w:val="007855AC"/>
    <w:rsid w:val="00786AAE"/>
    <w:rsid w:val="00791D1C"/>
    <w:rsid w:val="00794A18"/>
    <w:rsid w:val="00794DB0"/>
    <w:rsid w:val="007960EA"/>
    <w:rsid w:val="00796C88"/>
    <w:rsid w:val="00796EB7"/>
    <w:rsid w:val="00797395"/>
    <w:rsid w:val="007975F5"/>
    <w:rsid w:val="007A3DA6"/>
    <w:rsid w:val="007A44C8"/>
    <w:rsid w:val="007B0B4A"/>
    <w:rsid w:val="007B2338"/>
    <w:rsid w:val="007C0AC8"/>
    <w:rsid w:val="007C1775"/>
    <w:rsid w:val="007C1783"/>
    <w:rsid w:val="007C29B2"/>
    <w:rsid w:val="007C42CC"/>
    <w:rsid w:val="007C5D7A"/>
    <w:rsid w:val="007C602D"/>
    <w:rsid w:val="007D03D3"/>
    <w:rsid w:val="007D1904"/>
    <w:rsid w:val="007D248D"/>
    <w:rsid w:val="007D26CC"/>
    <w:rsid w:val="007D32CB"/>
    <w:rsid w:val="007E06A1"/>
    <w:rsid w:val="007E1658"/>
    <w:rsid w:val="007E18BF"/>
    <w:rsid w:val="007E507B"/>
    <w:rsid w:val="007F130D"/>
    <w:rsid w:val="007F649B"/>
    <w:rsid w:val="007F753E"/>
    <w:rsid w:val="007F7CC0"/>
    <w:rsid w:val="008021C2"/>
    <w:rsid w:val="008039E0"/>
    <w:rsid w:val="00805C41"/>
    <w:rsid w:val="0080706C"/>
    <w:rsid w:val="0080728C"/>
    <w:rsid w:val="008113C2"/>
    <w:rsid w:val="00816E66"/>
    <w:rsid w:val="008222DA"/>
    <w:rsid w:val="00822D66"/>
    <w:rsid w:val="008237DC"/>
    <w:rsid w:val="00823B3C"/>
    <w:rsid w:val="00834384"/>
    <w:rsid w:val="008351ED"/>
    <w:rsid w:val="0083521D"/>
    <w:rsid w:val="00835A90"/>
    <w:rsid w:val="00836859"/>
    <w:rsid w:val="008417B7"/>
    <w:rsid w:val="0084206D"/>
    <w:rsid w:val="0084214D"/>
    <w:rsid w:val="008433FC"/>
    <w:rsid w:val="00845192"/>
    <w:rsid w:val="00847833"/>
    <w:rsid w:val="00850A0C"/>
    <w:rsid w:val="00852486"/>
    <w:rsid w:val="00855896"/>
    <w:rsid w:val="0085669B"/>
    <w:rsid w:val="00856865"/>
    <w:rsid w:val="00862D07"/>
    <w:rsid w:val="00864CBC"/>
    <w:rsid w:val="00872068"/>
    <w:rsid w:val="0087531D"/>
    <w:rsid w:val="00877AE3"/>
    <w:rsid w:val="00882E88"/>
    <w:rsid w:val="00886CA5"/>
    <w:rsid w:val="00891048"/>
    <w:rsid w:val="00893342"/>
    <w:rsid w:val="00893ACA"/>
    <w:rsid w:val="008A0150"/>
    <w:rsid w:val="008A30C6"/>
    <w:rsid w:val="008A52A9"/>
    <w:rsid w:val="008A682C"/>
    <w:rsid w:val="008B1896"/>
    <w:rsid w:val="008B2865"/>
    <w:rsid w:val="008C035C"/>
    <w:rsid w:val="008C177B"/>
    <w:rsid w:val="008C30F7"/>
    <w:rsid w:val="008C3D50"/>
    <w:rsid w:val="008C4413"/>
    <w:rsid w:val="008D0729"/>
    <w:rsid w:val="008D346B"/>
    <w:rsid w:val="008D3780"/>
    <w:rsid w:val="008D4EA8"/>
    <w:rsid w:val="008E2B44"/>
    <w:rsid w:val="008E4BEE"/>
    <w:rsid w:val="008E5C9C"/>
    <w:rsid w:val="008F126F"/>
    <w:rsid w:val="008F5625"/>
    <w:rsid w:val="009059BC"/>
    <w:rsid w:val="00915D6B"/>
    <w:rsid w:val="00920B8A"/>
    <w:rsid w:val="009214E1"/>
    <w:rsid w:val="00925327"/>
    <w:rsid w:val="009258C8"/>
    <w:rsid w:val="0093007A"/>
    <w:rsid w:val="00935666"/>
    <w:rsid w:val="00944156"/>
    <w:rsid w:val="00944511"/>
    <w:rsid w:val="00945D2E"/>
    <w:rsid w:val="00945DA2"/>
    <w:rsid w:val="00946643"/>
    <w:rsid w:val="00952E51"/>
    <w:rsid w:val="0095597C"/>
    <w:rsid w:val="00956435"/>
    <w:rsid w:val="00956908"/>
    <w:rsid w:val="00956AE1"/>
    <w:rsid w:val="0096015F"/>
    <w:rsid w:val="009677A4"/>
    <w:rsid w:val="00970CE4"/>
    <w:rsid w:val="00970E87"/>
    <w:rsid w:val="0097339B"/>
    <w:rsid w:val="0097429E"/>
    <w:rsid w:val="00976647"/>
    <w:rsid w:val="009845EB"/>
    <w:rsid w:val="009846DF"/>
    <w:rsid w:val="0098517E"/>
    <w:rsid w:val="00986411"/>
    <w:rsid w:val="00986E95"/>
    <w:rsid w:val="00990B42"/>
    <w:rsid w:val="00992CCF"/>
    <w:rsid w:val="009949A4"/>
    <w:rsid w:val="00996638"/>
    <w:rsid w:val="00997520"/>
    <w:rsid w:val="009A1C4B"/>
    <w:rsid w:val="009A2333"/>
    <w:rsid w:val="009A24A2"/>
    <w:rsid w:val="009A3725"/>
    <w:rsid w:val="009A3BB6"/>
    <w:rsid w:val="009A4690"/>
    <w:rsid w:val="009A5E42"/>
    <w:rsid w:val="009A600D"/>
    <w:rsid w:val="009B4970"/>
    <w:rsid w:val="009B49C3"/>
    <w:rsid w:val="009B5A8E"/>
    <w:rsid w:val="009B66C8"/>
    <w:rsid w:val="009B75E6"/>
    <w:rsid w:val="009B7B42"/>
    <w:rsid w:val="009C15AB"/>
    <w:rsid w:val="009C160A"/>
    <w:rsid w:val="009C376D"/>
    <w:rsid w:val="009C4D6F"/>
    <w:rsid w:val="009C5326"/>
    <w:rsid w:val="009C536F"/>
    <w:rsid w:val="009C56AF"/>
    <w:rsid w:val="009C5943"/>
    <w:rsid w:val="009C69CC"/>
    <w:rsid w:val="009C6F50"/>
    <w:rsid w:val="009D21BE"/>
    <w:rsid w:val="009D3CE8"/>
    <w:rsid w:val="009D7F5D"/>
    <w:rsid w:val="009E06FC"/>
    <w:rsid w:val="009E2620"/>
    <w:rsid w:val="009E47A4"/>
    <w:rsid w:val="009E6A83"/>
    <w:rsid w:val="009E78C0"/>
    <w:rsid w:val="009F132F"/>
    <w:rsid w:val="009F260E"/>
    <w:rsid w:val="009F406E"/>
    <w:rsid w:val="009F416F"/>
    <w:rsid w:val="009F4EA7"/>
    <w:rsid w:val="00A00791"/>
    <w:rsid w:val="00A02BD4"/>
    <w:rsid w:val="00A03403"/>
    <w:rsid w:val="00A0668B"/>
    <w:rsid w:val="00A0673C"/>
    <w:rsid w:val="00A10EC5"/>
    <w:rsid w:val="00A132B2"/>
    <w:rsid w:val="00A14237"/>
    <w:rsid w:val="00A15653"/>
    <w:rsid w:val="00A15C56"/>
    <w:rsid w:val="00A21514"/>
    <w:rsid w:val="00A2795C"/>
    <w:rsid w:val="00A310FE"/>
    <w:rsid w:val="00A3205B"/>
    <w:rsid w:val="00A33A50"/>
    <w:rsid w:val="00A35E4B"/>
    <w:rsid w:val="00A378FC"/>
    <w:rsid w:val="00A41CC5"/>
    <w:rsid w:val="00A44676"/>
    <w:rsid w:val="00A44BE7"/>
    <w:rsid w:val="00A44D3C"/>
    <w:rsid w:val="00A47036"/>
    <w:rsid w:val="00A4754B"/>
    <w:rsid w:val="00A50076"/>
    <w:rsid w:val="00A513CD"/>
    <w:rsid w:val="00A557EA"/>
    <w:rsid w:val="00A55974"/>
    <w:rsid w:val="00A576D9"/>
    <w:rsid w:val="00A60ED7"/>
    <w:rsid w:val="00A619AE"/>
    <w:rsid w:val="00A62205"/>
    <w:rsid w:val="00A65991"/>
    <w:rsid w:val="00A71144"/>
    <w:rsid w:val="00A7119B"/>
    <w:rsid w:val="00A73368"/>
    <w:rsid w:val="00A75C13"/>
    <w:rsid w:val="00A80B49"/>
    <w:rsid w:val="00A84D37"/>
    <w:rsid w:val="00A8533C"/>
    <w:rsid w:val="00A876A5"/>
    <w:rsid w:val="00A901FA"/>
    <w:rsid w:val="00A930D6"/>
    <w:rsid w:val="00A95716"/>
    <w:rsid w:val="00A96052"/>
    <w:rsid w:val="00A96719"/>
    <w:rsid w:val="00A969E1"/>
    <w:rsid w:val="00AA4956"/>
    <w:rsid w:val="00AA67F5"/>
    <w:rsid w:val="00AA6AA5"/>
    <w:rsid w:val="00AB021D"/>
    <w:rsid w:val="00AB1504"/>
    <w:rsid w:val="00AB34A0"/>
    <w:rsid w:val="00AB4C4A"/>
    <w:rsid w:val="00AB4FF1"/>
    <w:rsid w:val="00AB5CBF"/>
    <w:rsid w:val="00AC1070"/>
    <w:rsid w:val="00AC6128"/>
    <w:rsid w:val="00AC77B8"/>
    <w:rsid w:val="00AD0573"/>
    <w:rsid w:val="00AD2D08"/>
    <w:rsid w:val="00AD3903"/>
    <w:rsid w:val="00AD60A8"/>
    <w:rsid w:val="00AD7897"/>
    <w:rsid w:val="00AE2CD0"/>
    <w:rsid w:val="00AE4537"/>
    <w:rsid w:val="00AF1577"/>
    <w:rsid w:val="00AF3462"/>
    <w:rsid w:val="00B003C1"/>
    <w:rsid w:val="00B00A7F"/>
    <w:rsid w:val="00B046B5"/>
    <w:rsid w:val="00B060F3"/>
    <w:rsid w:val="00B0760D"/>
    <w:rsid w:val="00B07C45"/>
    <w:rsid w:val="00B110A6"/>
    <w:rsid w:val="00B113EC"/>
    <w:rsid w:val="00B119A5"/>
    <w:rsid w:val="00B11D89"/>
    <w:rsid w:val="00B13D88"/>
    <w:rsid w:val="00B140C6"/>
    <w:rsid w:val="00B14F12"/>
    <w:rsid w:val="00B1745B"/>
    <w:rsid w:val="00B179B1"/>
    <w:rsid w:val="00B2143F"/>
    <w:rsid w:val="00B22709"/>
    <w:rsid w:val="00B22719"/>
    <w:rsid w:val="00B22DF9"/>
    <w:rsid w:val="00B24C6A"/>
    <w:rsid w:val="00B3183A"/>
    <w:rsid w:val="00B3282E"/>
    <w:rsid w:val="00B3422E"/>
    <w:rsid w:val="00B350A2"/>
    <w:rsid w:val="00B35A5E"/>
    <w:rsid w:val="00B366E7"/>
    <w:rsid w:val="00B3727E"/>
    <w:rsid w:val="00B4164E"/>
    <w:rsid w:val="00B43493"/>
    <w:rsid w:val="00B451B4"/>
    <w:rsid w:val="00B4521D"/>
    <w:rsid w:val="00B45528"/>
    <w:rsid w:val="00B50656"/>
    <w:rsid w:val="00B50802"/>
    <w:rsid w:val="00B52207"/>
    <w:rsid w:val="00B5566E"/>
    <w:rsid w:val="00B55AFA"/>
    <w:rsid w:val="00B56B0C"/>
    <w:rsid w:val="00B63204"/>
    <w:rsid w:val="00B65E7A"/>
    <w:rsid w:val="00B66F4B"/>
    <w:rsid w:val="00B70F09"/>
    <w:rsid w:val="00B75724"/>
    <w:rsid w:val="00B75E1E"/>
    <w:rsid w:val="00B76095"/>
    <w:rsid w:val="00B77113"/>
    <w:rsid w:val="00B806D4"/>
    <w:rsid w:val="00B83D21"/>
    <w:rsid w:val="00B84E60"/>
    <w:rsid w:val="00B851A5"/>
    <w:rsid w:val="00B907A2"/>
    <w:rsid w:val="00B91E8B"/>
    <w:rsid w:val="00B94D06"/>
    <w:rsid w:val="00B9725A"/>
    <w:rsid w:val="00B97AA0"/>
    <w:rsid w:val="00BA10DE"/>
    <w:rsid w:val="00BA14C8"/>
    <w:rsid w:val="00BA186E"/>
    <w:rsid w:val="00BA255D"/>
    <w:rsid w:val="00BA5FA2"/>
    <w:rsid w:val="00BA6683"/>
    <w:rsid w:val="00BB1007"/>
    <w:rsid w:val="00BB2672"/>
    <w:rsid w:val="00BB3AA1"/>
    <w:rsid w:val="00BB5343"/>
    <w:rsid w:val="00BC00DF"/>
    <w:rsid w:val="00BC1D82"/>
    <w:rsid w:val="00BC3417"/>
    <w:rsid w:val="00BC3646"/>
    <w:rsid w:val="00BC6837"/>
    <w:rsid w:val="00BC73E2"/>
    <w:rsid w:val="00BC7AE9"/>
    <w:rsid w:val="00BC7D18"/>
    <w:rsid w:val="00BD005C"/>
    <w:rsid w:val="00BD7B42"/>
    <w:rsid w:val="00BE3BFE"/>
    <w:rsid w:val="00BE3F02"/>
    <w:rsid w:val="00BE45F6"/>
    <w:rsid w:val="00BE6732"/>
    <w:rsid w:val="00BF14CB"/>
    <w:rsid w:val="00BF2651"/>
    <w:rsid w:val="00BF523D"/>
    <w:rsid w:val="00BF6EC9"/>
    <w:rsid w:val="00C00A3F"/>
    <w:rsid w:val="00C01154"/>
    <w:rsid w:val="00C02263"/>
    <w:rsid w:val="00C02C66"/>
    <w:rsid w:val="00C039C7"/>
    <w:rsid w:val="00C05F6F"/>
    <w:rsid w:val="00C10054"/>
    <w:rsid w:val="00C112FF"/>
    <w:rsid w:val="00C11A09"/>
    <w:rsid w:val="00C160D4"/>
    <w:rsid w:val="00C17630"/>
    <w:rsid w:val="00C22096"/>
    <w:rsid w:val="00C22826"/>
    <w:rsid w:val="00C22AFB"/>
    <w:rsid w:val="00C23F9C"/>
    <w:rsid w:val="00C2643D"/>
    <w:rsid w:val="00C33008"/>
    <w:rsid w:val="00C350A4"/>
    <w:rsid w:val="00C3712B"/>
    <w:rsid w:val="00C37175"/>
    <w:rsid w:val="00C45146"/>
    <w:rsid w:val="00C45850"/>
    <w:rsid w:val="00C45BF8"/>
    <w:rsid w:val="00C51034"/>
    <w:rsid w:val="00C53C94"/>
    <w:rsid w:val="00C53FA1"/>
    <w:rsid w:val="00C576F6"/>
    <w:rsid w:val="00C607A2"/>
    <w:rsid w:val="00C61731"/>
    <w:rsid w:val="00C667D4"/>
    <w:rsid w:val="00C66DFE"/>
    <w:rsid w:val="00C6788D"/>
    <w:rsid w:val="00C67B93"/>
    <w:rsid w:val="00C704B6"/>
    <w:rsid w:val="00C7131C"/>
    <w:rsid w:val="00C74F04"/>
    <w:rsid w:val="00C77135"/>
    <w:rsid w:val="00C80B37"/>
    <w:rsid w:val="00C81D1E"/>
    <w:rsid w:val="00C83413"/>
    <w:rsid w:val="00C865D9"/>
    <w:rsid w:val="00C90EF8"/>
    <w:rsid w:val="00C93089"/>
    <w:rsid w:val="00C94F6A"/>
    <w:rsid w:val="00C966E6"/>
    <w:rsid w:val="00C96CDA"/>
    <w:rsid w:val="00C96FF4"/>
    <w:rsid w:val="00CA44C7"/>
    <w:rsid w:val="00CA4D95"/>
    <w:rsid w:val="00CA746E"/>
    <w:rsid w:val="00CA775F"/>
    <w:rsid w:val="00CA7A5B"/>
    <w:rsid w:val="00CB00E0"/>
    <w:rsid w:val="00CB0608"/>
    <w:rsid w:val="00CB0989"/>
    <w:rsid w:val="00CB1160"/>
    <w:rsid w:val="00CB26B2"/>
    <w:rsid w:val="00CB5D98"/>
    <w:rsid w:val="00CB6DAD"/>
    <w:rsid w:val="00CC120F"/>
    <w:rsid w:val="00CC16E4"/>
    <w:rsid w:val="00CC4768"/>
    <w:rsid w:val="00CC57E9"/>
    <w:rsid w:val="00CD1436"/>
    <w:rsid w:val="00CD29C1"/>
    <w:rsid w:val="00CE0338"/>
    <w:rsid w:val="00CE179C"/>
    <w:rsid w:val="00CE2EDB"/>
    <w:rsid w:val="00CE30B3"/>
    <w:rsid w:val="00CE7550"/>
    <w:rsid w:val="00CF1038"/>
    <w:rsid w:val="00CF30DF"/>
    <w:rsid w:val="00CF6724"/>
    <w:rsid w:val="00CF6875"/>
    <w:rsid w:val="00CF7371"/>
    <w:rsid w:val="00D00114"/>
    <w:rsid w:val="00D01648"/>
    <w:rsid w:val="00D024F4"/>
    <w:rsid w:val="00D029A5"/>
    <w:rsid w:val="00D029EE"/>
    <w:rsid w:val="00D07A9C"/>
    <w:rsid w:val="00D100C6"/>
    <w:rsid w:val="00D106D3"/>
    <w:rsid w:val="00D10D4A"/>
    <w:rsid w:val="00D1104D"/>
    <w:rsid w:val="00D13F98"/>
    <w:rsid w:val="00D15A2E"/>
    <w:rsid w:val="00D15A96"/>
    <w:rsid w:val="00D212B2"/>
    <w:rsid w:val="00D22C3F"/>
    <w:rsid w:val="00D23992"/>
    <w:rsid w:val="00D25AB1"/>
    <w:rsid w:val="00D26059"/>
    <w:rsid w:val="00D30BEF"/>
    <w:rsid w:val="00D31B66"/>
    <w:rsid w:val="00D35DF9"/>
    <w:rsid w:val="00D36C0F"/>
    <w:rsid w:val="00D37116"/>
    <w:rsid w:val="00D44426"/>
    <w:rsid w:val="00D4679C"/>
    <w:rsid w:val="00D46E99"/>
    <w:rsid w:val="00D50874"/>
    <w:rsid w:val="00D546DD"/>
    <w:rsid w:val="00D54954"/>
    <w:rsid w:val="00D55C4F"/>
    <w:rsid w:val="00D615C7"/>
    <w:rsid w:val="00D640BB"/>
    <w:rsid w:val="00D643CC"/>
    <w:rsid w:val="00D709F1"/>
    <w:rsid w:val="00D754FF"/>
    <w:rsid w:val="00D75EBA"/>
    <w:rsid w:val="00D776A6"/>
    <w:rsid w:val="00D83057"/>
    <w:rsid w:val="00D8440D"/>
    <w:rsid w:val="00D8474D"/>
    <w:rsid w:val="00D874CF"/>
    <w:rsid w:val="00D87672"/>
    <w:rsid w:val="00D87EB4"/>
    <w:rsid w:val="00D920A2"/>
    <w:rsid w:val="00D94E57"/>
    <w:rsid w:val="00D9623F"/>
    <w:rsid w:val="00D96476"/>
    <w:rsid w:val="00DA2448"/>
    <w:rsid w:val="00DA26D5"/>
    <w:rsid w:val="00DB01F3"/>
    <w:rsid w:val="00DB281F"/>
    <w:rsid w:val="00DB55D3"/>
    <w:rsid w:val="00DB7D52"/>
    <w:rsid w:val="00DC0FF2"/>
    <w:rsid w:val="00DD2679"/>
    <w:rsid w:val="00DD3732"/>
    <w:rsid w:val="00DE4C0A"/>
    <w:rsid w:val="00DE7FCC"/>
    <w:rsid w:val="00DF1254"/>
    <w:rsid w:val="00DF2A49"/>
    <w:rsid w:val="00DF742B"/>
    <w:rsid w:val="00E00C88"/>
    <w:rsid w:val="00E04D37"/>
    <w:rsid w:val="00E07DD6"/>
    <w:rsid w:val="00E1088C"/>
    <w:rsid w:val="00E14339"/>
    <w:rsid w:val="00E14A37"/>
    <w:rsid w:val="00E20133"/>
    <w:rsid w:val="00E208E1"/>
    <w:rsid w:val="00E23798"/>
    <w:rsid w:val="00E2533D"/>
    <w:rsid w:val="00E2780C"/>
    <w:rsid w:val="00E27BC6"/>
    <w:rsid w:val="00E309F5"/>
    <w:rsid w:val="00E32E48"/>
    <w:rsid w:val="00E33C0B"/>
    <w:rsid w:val="00E3706C"/>
    <w:rsid w:val="00E41C29"/>
    <w:rsid w:val="00E42875"/>
    <w:rsid w:val="00E436F2"/>
    <w:rsid w:val="00E53F4D"/>
    <w:rsid w:val="00E540B7"/>
    <w:rsid w:val="00E5459A"/>
    <w:rsid w:val="00E548FA"/>
    <w:rsid w:val="00E54B4C"/>
    <w:rsid w:val="00E55458"/>
    <w:rsid w:val="00E6140C"/>
    <w:rsid w:val="00E619C3"/>
    <w:rsid w:val="00E62934"/>
    <w:rsid w:val="00E66428"/>
    <w:rsid w:val="00E7240E"/>
    <w:rsid w:val="00E7253F"/>
    <w:rsid w:val="00E72643"/>
    <w:rsid w:val="00E80644"/>
    <w:rsid w:val="00E80D69"/>
    <w:rsid w:val="00E80F6D"/>
    <w:rsid w:val="00E815CB"/>
    <w:rsid w:val="00E83165"/>
    <w:rsid w:val="00E83609"/>
    <w:rsid w:val="00E83E7F"/>
    <w:rsid w:val="00E902E7"/>
    <w:rsid w:val="00E90E86"/>
    <w:rsid w:val="00E94BAE"/>
    <w:rsid w:val="00E94E3D"/>
    <w:rsid w:val="00EA4356"/>
    <w:rsid w:val="00EA4ACF"/>
    <w:rsid w:val="00EA60D0"/>
    <w:rsid w:val="00EA77B4"/>
    <w:rsid w:val="00EB1986"/>
    <w:rsid w:val="00EB23A7"/>
    <w:rsid w:val="00EB3695"/>
    <w:rsid w:val="00EB37B2"/>
    <w:rsid w:val="00EB3C20"/>
    <w:rsid w:val="00EB5DA4"/>
    <w:rsid w:val="00EB68BD"/>
    <w:rsid w:val="00EC228E"/>
    <w:rsid w:val="00EC750F"/>
    <w:rsid w:val="00ED0DF2"/>
    <w:rsid w:val="00ED29FF"/>
    <w:rsid w:val="00ED2B75"/>
    <w:rsid w:val="00ED56F9"/>
    <w:rsid w:val="00ED5CB1"/>
    <w:rsid w:val="00ED5DE6"/>
    <w:rsid w:val="00ED7426"/>
    <w:rsid w:val="00EE412F"/>
    <w:rsid w:val="00EE716D"/>
    <w:rsid w:val="00EF1CF9"/>
    <w:rsid w:val="00EF5326"/>
    <w:rsid w:val="00F02162"/>
    <w:rsid w:val="00F0462C"/>
    <w:rsid w:val="00F04D49"/>
    <w:rsid w:val="00F062AE"/>
    <w:rsid w:val="00F06C72"/>
    <w:rsid w:val="00F07B64"/>
    <w:rsid w:val="00F1022D"/>
    <w:rsid w:val="00F13CB2"/>
    <w:rsid w:val="00F144DD"/>
    <w:rsid w:val="00F157C9"/>
    <w:rsid w:val="00F15952"/>
    <w:rsid w:val="00F17138"/>
    <w:rsid w:val="00F17596"/>
    <w:rsid w:val="00F21FF3"/>
    <w:rsid w:val="00F22E1C"/>
    <w:rsid w:val="00F25001"/>
    <w:rsid w:val="00F269A3"/>
    <w:rsid w:val="00F35EBD"/>
    <w:rsid w:val="00F423BB"/>
    <w:rsid w:val="00F439E3"/>
    <w:rsid w:val="00F452BF"/>
    <w:rsid w:val="00F47154"/>
    <w:rsid w:val="00F51242"/>
    <w:rsid w:val="00F52DDC"/>
    <w:rsid w:val="00F53E35"/>
    <w:rsid w:val="00F53F3C"/>
    <w:rsid w:val="00F542BB"/>
    <w:rsid w:val="00F550AA"/>
    <w:rsid w:val="00F57615"/>
    <w:rsid w:val="00F57ABC"/>
    <w:rsid w:val="00F603E9"/>
    <w:rsid w:val="00F60930"/>
    <w:rsid w:val="00F628CF"/>
    <w:rsid w:val="00F659F8"/>
    <w:rsid w:val="00F72A5F"/>
    <w:rsid w:val="00F73C74"/>
    <w:rsid w:val="00F81218"/>
    <w:rsid w:val="00F85D58"/>
    <w:rsid w:val="00F86FD0"/>
    <w:rsid w:val="00F876A1"/>
    <w:rsid w:val="00F90162"/>
    <w:rsid w:val="00F94839"/>
    <w:rsid w:val="00F94B4B"/>
    <w:rsid w:val="00F957DE"/>
    <w:rsid w:val="00F9755F"/>
    <w:rsid w:val="00FA1321"/>
    <w:rsid w:val="00FA35DF"/>
    <w:rsid w:val="00FA5EA1"/>
    <w:rsid w:val="00FA68AC"/>
    <w:rsid w:val="00FA7D1B"/>
    <w:rsid w:val="00FB0574"/>
    <w:rsid w:val="00FB1CEC"/>
    <w:rsid w:val="00FB3B35"/>
    <w:rsid w:val="00FD03FE"/>
    <w:rsid w:val="00FD34AC"/>
    <w:rsid w:val="00FD5067"/>
    <w:rsid w:val="00FD6402"/>
    <w:rsid w:val="00FE0835"/>
    <w:rsid w:val="00FE1A63"/>
    <w:rsid w:val="00FE1DCF"/>
    <w:rsid w:val="00FE4F3B"/>
    <w:rsid w:val="00FE6389"/>
    <w:rsid w:val="00FF2DBD"/>
    <w:rsid w:val="00FF3586"/>
    <w:rsid w:val="00FF43A7"/>
    <w:rsid w:val="00FF653D"/>
    <w:rsid w:val="00FF6B72"/>
    <w:rsid w:val="0102181C"/>
    <w:rsid w:val="02176491"/>
    <w:rsid w:val="02290C40"/>
    <w:rsid w:val="022B2C0A"/>
    <w:rsid w:val="029C3B08"/>
    <w:rsid w:val="029C7664"/>
    <w:rsid w:val="033008BB"/>
    <w:rsid w:val="03353BF1"/>
    <w:rsid w:val="03385656"/>
    <w:rsid w:val="03922E26"/>
    <w:rsid w:val="03A55895"/>
    <w:rsid w:val="03F82FC0"/>
    <w:rsid w:val="044E2196"/>
    <w:rsid w:val="04892D4D"/>
    <w:rsid w:val="04BA4F43"/>
    <w:rsid w:val="04E75425"/>
    <w:rsid w:val="057D058F"/>
    <w:rsid w:val="05BF0EC0"/>
    <w:rsid w:val="060D57BD"/>
    <w:rsid w:val="0633427F"/>
    <w:rsid w:val="064050A3"/>
    <w:rsid w:val="06846D8D"/>
    <w:rsid w:val="06CF0B37"/>
    <w:rsid w:val="07464042"/>
    <w:rsid w:val="074A7534"/>
    <w:rsid w:val="0781507A"/>
    <w:rsid w:val="07A1571D"/>
    <w:rsid w:val="07A32A01"/>
    <w:rsid w:val="07F54D84"/>
    <w:rsid w:val="0828574C"/>
    <w:rsid w:val="086F74AC"/>
    <w:rsid w:val="087E48C6"/>
    <w:rsid w:val="089B0BA3"/>
    <w:rsid w:val="08CA47FF"/>
    <w:rsid w:val="08F300CC"/>
    <w:rsid w:val="091A24A5"/>
    <w:rsid w:val="099159FF"/>
    <w:rsid w:val="099E702C"/>
    <w:rsid w:val="09BB25E7"/>
    <w:rsid w:val="09C75E62"/>
    <w:rsid w:val="09F110DC"/>
    <w:rsid w:val="09F44714"/>
    <w:rsid w:val="0A0F20CC"/>
    <w:rsid w:val="0A1A7E5A"/>
    <w:rsid w:val="0A2A4FD9"/>
    <w:rsid w:val="0A432ABB"/>
    <w:rsid w:val="0A444601"/>
    <w:rsid w:val="0A883E7C"/>
    <w:rsid w:val="0AB1158E"/>
    <w:rsid w:val="0B19028B"/>
    <w:rsid w:val="0B375B18"/>
    <w:rsid w:val="0B704738"/>
    <w:rsid w:val="0B786794"/>
    <w:rsid w:val="0BBA2819"/>
    <w:rsid w:val="0C2052F1"/>
    <w:rsid w:val="0C48260B"/>
    <w:rsid w:val="0C7F64B4"/>
    <w:rsid w:val="0C807198"/>
    <w:rsid w:val="0CBE77E3"/>
    <w:rsid w:val="0D047654"/>
    <w:rsid w:val="0D186481"/>
    <w:rsid w:val="0D3639F8"/>
    <w:rsid w:val="0D3B1003"/>
    <w:rsid w:val="0D4F6360"/>
    <w:rsid w:val="0DA66FB1"/>
    <w:rsid w:val="0E100F06"/>
    <w:rsid w:val="0E233C52"/>
    <w:rsid w:val="0E661B1F"/>
    <w:rsid w:val="0E74069C"/>
    <w:rsid w:val="0EB32D6D"/>
    <w:rsid w:val="0EBB5316"/>
    <w:rsid w:val="0EEB36EC"/>
    <w:rsid w:val="0EF93709"/>
    <w:rsid w:val="0F7270E3"/>
    <w:rsid w:val="0FC71B58"/>
    <w:rsid w:val="0FF408E6"/>
    <w:rsid w:val="1034236A"/>
    <w:rsid w:val="10637A13"/>
    <w:rsid w:val="106634AA"/>
    <w:rsid w:val="1091203B"/>
    <w:rsid w:val="10991687"/>
    <w:rsid w:val="11091EDE"/>
    <w:rsid w:val="112D3C05"/>
    <w:rsid w:val="11676D8E"/>
    <w:rsid w:val="11691059"/>
    <w:rsid w:val="11692025"/>
    <w:rsid w:val="11A71B81"/>
    <w:rsid w:val="11BE0614"/>
    <w:rsid w:val="122F7A83"/>
    <w:rsid w:val="123D2214"/>
    <w:rsid w:val="12870DE3"/>
    <w:rsid w:val="128771E6"/>
    <w:rsid w:val="12C0739F"/>
    <w:rsid w:val="12DF08FF"/>
    <w:rsid w:val="12E01AE0"/>
    <w:rsid w:val="13B764A4"/>
    <w:rsid w:val="13B84F03"/>
    <w:rsid w:val="13C14764"/>
    <w:rsid w:val="13F057E8"/>
    <w:rsid w:val="13F60738"/>
    <w:rsid w:val="14036BF5"/>
    <w:rsid w:val="14264FE0"/>
    <w:rsid w:val="149B2B9D"/>
    <w:rsid w:val="14A260CC"/>
    <w:rsid w:val="14CF38C9"/>
    <w:rsid w:val="151A0C8B"/>
    <w:rsid w:val="151D17CD"/>
    <w:rsid w:val="15753885"/>
    <w:rsid w:val="15995C85"/>
    <w:rsid w:val="15B7274B"/>
    <w:rsid w:val="15BF475D"/>
    <w:rsid w:val="15E016C9"/>
    <w:rsid w:val="15E3575C"/>
    <w:rsid w:val="161517B0"/>
    <w:rsid w:val="16235BA1"/>
    <w:rsid w:val="1641578F"/>
    <w:rsid w:val="1646419B"/>
    <w:rsid w:val="16895DD4"/>
    <w:rsid w:val="170E28A5"/>
    <w:rsid w:val="172F6697"/>
    <w:rsid w:val="173B133D"/>
    <w:rsid w:val="174072B9"/>
    <w:rsid w:val="17BD20FF"/>
    <w:rsid w:val="17E07B9B"/>
    <w:rsid w:val="19406E97"/>
    <w:rsid w:val="196D4A20"/>
    <w:rsid w:val="196E5E76"/>
    <w:rsid w:val="19720CC7"/>
    <w:rsid w:val="19D00B49"/>
    <w:rsid w:val="19E77A9E"/>
    <w:rsid w:val="19FE07AD"/>
    <w:rsid w:val="1A024ED4"/>
    <w:rsid w:val="1A777F0F"/>
    <w:rsid w:val="1B2A0CD8"/>
    <w:rsid w:val="1B303988"/>
    <w:rsid w:val="1B5712D4"/>
    <w:rsid w:val="1B5744E8"/>
    <w:rsid w:val="1B617D97"/>
    <w:rsid w:val="1B965141"/>
    <w:rsid w:val="1C362180"/>
    <w:rsid w:val="1C444C2C"/>
    <w:rsid w:val="1CA621D5"/>
    <w:rsid w:val="1CB47291"/>
    <w:rsid w:val="1CC03ABA"/>
    <w:rsid w:val="1D047E88"/>
    <w:rsid w:val="1D2C2131"/>
    <w:rsid w:val="1D306ECF"/>
    <w:rsid w:val="1D3472EB"/>
    <w:rsid w:val="1D6269C0"/>
    <w:rsid w:val="1D817E5B"/>
    <w:rsid w:val="1D8C2D63"/>
    <w:rsid w:val="1DF774E6"/>
    <w:rsid w:val="1E7A7D2E"/>
    <w:rsid w:val="1E81301C"/>
    <w:rsid w:val="1F337795"/>
    <w:rsid w:val="1F3F45B9"/>
    <w:rsid w:val="1F916353"/>
    <w:rsid w:val="1FA426C8"/>
    <w:rsid w:val="1FA923CF"/>
    <w:rsid w:val="1FAF153F"/>
    <w:rsid w:val="1FB93F0C"/>
    <w:rsid w:val="1FD431C5"/>
    <w:rsid w:val="209338C0"/>
    <w:rsid w:val="20BE7554"/>
    <w:rsid w:val="20DD6539"/>
    <w:rsid w:val="20E0398F"/>
    <w:rsid w:val="20F070A1"/>
    <w:rsid w:val="210F1974"/>
    <w:rsid w:val="212B3A00"/>
    <w:rsid w:val="212E3357"/>
    <w:rsid w:val="215C6B13"/>
    <w:rsid w:val="21C15225"/>
    <w:rsid w:val="21ED1832"/>
    <w:rsid w:val="221D19D3"/>
    <w:rsid w:val="228760BF"/>
    <w:rsid w:val="22AD6357"/>
    <w:rsid w:val="22B3356F"/>
    <w:rsid w:val="22C05153"/>
    <w:rsid w:val="22CF66FD"/>
    <w:rsid w:val="22D266FA"/>
    <w:rsid w:val="22D35106"/>
    <w:rsid w:val="23311200"/>
    <w:rsid w:val="23715E37"/>
    <w:rsid w:val="238C6E29"/>
    <w:rsid w:val="23A2454D"/>
    <w:rsid w:val="23BF4A9A"/>
    <w:rsid w:val="23D26F32"/>
    <w:rsid w:val="23EE3640"/>
    <w:rsid w:val="243D7784"/>
    <w:rsid w:val="24457704"/>
    <w:rsid w:val="246D27B7"/>
    <w:rsid w:val="24853F58"/>
    <w:rsid w:val="24AA7CCD"/>
    <w:rsid w:val="24B418A3"/>
    <w:rsid w:val="24CE0E77"/>
    <w:rsid w:val="24F25C29"/>
    <w:rsid w:val="252E63EA"/>
    <w:rsid w:val="256673C2"/>
    <w:rsid w:val="25992B51"/>
    <w:rsid w:val="259A7020"/>
    <w:rsid w:val="259E479A"/>
    <w:rsid w:val="25FA6E90"/>
    <w:rsid w:val="26316CB1"/>
    <w:rsid w:val="265A78A7"/>
    <w:rsid w:val="265E4AAD"/>
    <w:rsid w:val="2674616F"/>
    <w:rsid w:val="2679051E"/>
    <w:rsid w:val="26C443E1"/>
    <w:rsid w:val="26DC0732"/>
    <w:rsid w:val="271504ED"/>
    <w:rsid w:val="27511125"/>
    <w:rsid w:val="27597C9E"/>
    <w:rsid w:val="278F7CBE"/>
    <w:rsid w:val="282B5B6F"/>
    <w:rsid w:val="287A7B87"/>
    <w:rsid w:val="28A32C4B"/>
    <w:rsid w:val="28A528ED"/>
    <w:rsid w:val="28B437CB"/>
    <w:rsid w:val="293146FB"/>
    <w:rsid w:val="29710008"/>
    <w:rsid w:val="29712190"/>
    <w:rsid w:val="29850CF1"/>
    <w:rsid w:val="299F2C35"/>
    <w:rsid w:val="29D447F6"/>
    <w:rsid w:val="29F50989"/>
    <w:rsid w:val="29F774B3"/>
    <w:rsid w:val="2A012B61"/>
    <w:rsid w:val="2A1F4D19"/>
    <w:rsid w:val="2A523EF2"/>
    <w:rsid w:val="2ACD2B13"/>
    <w:rsid w:val="2AD34780"/>
    <w:rsid w:val="2AD97BAB"/>
    <w:rsid w:val="2B291268"/>
    <w:rsid w:val="2B760428"/>
    <w:rsid w:val="2BA423B9"/>
    <w:rsid w:val="2BA56EA5"/>
    <w:rsid w:val="2BB52D65"/>
    <w:rsid w:val="2BD7234A"/>
    <w:rsid w:val="2BDF516F"/>
    <w:rsid w:val="2BE97BA4"/>
    <w:rsid w:val="2BF67B24"/>
    <w:rsid w:val="2BF717F3"/>
    <w:rsid w:val="2BFE7021"/>
    <w:rsid w:val="2C0D7667"/>
    <w:rsid w:val="2C106849"/>
    <w:rsid w:val="2C114F3D"/>
    <w:rsid w:val="2C437A37"/>
    <w:rsid w:val="2C5113C3"/>
    <w:rsid w:val="2C533744"/>
    <w:rsid w:val="2C6C4A86"/>
    <w:rsid w:val="2CD136FF"/>
    <w:rsid w:val="2D2C08E1"/>
    <w:rsid w:val="2D8B5E36"/>
    <w:rsid w:val="2DB875F3"/>
    <w:rsid w:val="2DD82900"/>
    <w:rsid w:val="2DE54EFA"/>
    <w:rsid w:val="2DF82992"/>
    <w:rsid w:val="2E034196"/>
    <w:rsid w:val="2E6B4127"/>
    <w:rsid w:val="2E9A689E"/>
    <w:rsid w:val="2ECB6253"/>
    <w:rsid w:val="2EFF215F"/>
    <w:rsid w:val="2F236CBC"/>
    <w:rsid w:val="2F57653D"/>
    <w:rsid w:val="2F955AF6"/>
    <w:rsid w:val="2FC977C0"/>
    <w:rsid w:val="2FD26D2E"/>
    <w:rsid w:val="30406FD1"/>
    <w:rsid w:val="304D0F6C"/>
    <w:rsid w:val="30806B9E"/>
    <w:rsid w:val="3086332C"/>
    <w:rsid w:val="30D23469"/>
    <w:rsid w:val="310E70CF"/>
    <w:rsid w:val="31182324"/>
    <w:rsid w:val="31592A40"/>
    <w:rsid w:val="317B1DBF"/>
    <w:rsid w:val="318F0210"/>
    <w:rsid w:val="31F348B7"/>
    <w:rsid w:val="31FE0EF2"/>
    <w:rsid w:val="32491521"/>
    <w:rsid w:val="328D532E"/>
    <w:rsid w:val="32CB348B"/>
    <w:rsid w:val="32CD72CC"/>
    <w:rsid w:val="3339159F"/>
    <w:rsid w:val="33657E90"/>
    <w:rsid w:val="337E361F"/>
    <w:rsid w:val="33C65DCA"/>
    <w:rsid w:val="33F60940"/>
    <w:rsid w:val="33F66A51"/>
    <w:rsid w:val="343508B5"/>
    <w:rsid w:val="3439043E"/>
    <w:rsid w:val="346910F4"/>
    <w:rsid w:val="34853694"/>
    <w:rsid w:val="34CC0E57"/>
    <w:rsid w:val="34E64AEB"/>
    <w:rsid w:val="34FD4D3A"/>
    <w:rsid w:val="350677B1"/>
    <w:rsid w:val="35262C3A"/>
    <w:rsid w:val="35591EB5"/>
    <w:rsid w:val="355C159F"/>
    <w:rsid w:val="35910D25"/>
    <w:rsid w:val="35921100"/>
    <w:rsid w:val="35B23FA8"/>
    <w:rsid w:val="35C67F79"/>
    <w:rsid w:val="35CC1078"/>
    <w:rsid w:val="35E47C47"/>
    <w:rsid w:val="3632560E"/>
    <w:rsid w:val="365D438B"/>
    <w:rsid w:val="369D111E"/>
    <w:rsid w:val="36C50230"/>
    <w:rsid w:val="36CD7F81"/>
    <w:rsid w:val="36F11025"/>
    <w:rsid w:val="373454E3"/>
    <w:rsid w:val="374B2E2B"/>
    <w:rsid w:val="37822E3E"/>
    <w:rsid w:val="379548BA"/>
    <w:rsid w:val="37AD1EC7"/>
    <w:rsid w:val="382A7AEF"/>
    <w:rsid w:val="382C4A0B"/>
    <w:rsid w:val="38825F38"/>
    <w:rsid w:val="38AA521A"/>
    <w:rsid w:val="38C5370F"/>
    <w:rsid w:val="38D56486"/>
    <w:rsid w:val="38F71B5F"/>
    <w:rsid w:val="39317DFF"/>
    <w:rsid w:val="396B57BF"/>
    <w:rsid w:val="39722413"/>
    <w:rsid w:val="399834E3"/>
    <w:rsid w:val="39C66FE4"/>
    <w:rsid w:val="39D341CC"/>
    <w:rsid w:val="39F8074B"/>
    <w:rsid w:val="3A6D130B"/>
    <w:rsid w:val="3A7E6316"/>
    <w:rsid w:val="3AE25855"/>
    <w:rsid w:val="3B8717C1"/>
    <w:rsid w:val="3BD15891"/>
    <w:rsid w:val="3BF31866"/>
    <w:rsid w:val="3BF33A92"/>
    <w:rsid w:val="3C1856B8"/>
    <w:rsid w:val="3C2679C3"/>
    <w:rsid w:val="3C492996"/>
    <w:rsid w:val="3CAA49A6"/>
    <w:rsid w:val="3CB32C0A"/>
    <w:rsid w:val="3CCE27FF"/>
    <w:rsid w:val="3D13421D"/>
    <w:rsid w:val="3E0A1BEB"/>
    <w:rsid w:val="3E1A3557"/>
    <w:rsid w:val="3E5D4782"/>
    <w:rsid w:val="3E662E22"/>
    <w:rsid w:val="3EA960AC"/>
    <w:rsid w:val="3EBC6486"/>
    <w:rsid w:val="3EE651E8"/>
    <w:rsid w:val="3F2C03A4"/>
    <w:rsid w:val="3F5F70BC"/>
    <w:rsid w:val="3F825A05"/>
    <w:rsid w:val="3FCD2357"/>
    <w:rsid w:val="3FEF3BDF"/>
    <w:rsid w:val="400D4000"/>
    <w:rsid w:val="4023235B"/>
    <w:rsid w:val="403E6C5E"/>
    <w:rsid w:val="404249F6"/>
    <w:rsid w:val="404945DC"/>
    <w:rsid w:val="407B35C7"/>
    <w:rsid w:val="41096C2F"/>
    <w:rsid w:val="41120C7C"/>
    <w:rsid w:val="41254DCE"/>
    <w:rsid w:val="413B5CBF"/>
    <w:rsid w:val="417116E0"/>
    <w:rsid w:val="417C7B7A"/>
    <w:rsid w:val="41A374C2"/>
    <w:rsid w:val="41CE3A06"/>
    <w:rsid w:val="41D91034"/>
    <w:rsid w:val="41DF2AEE"/>
    <w:rsid w:val="41FE1F8D"/>
    <w:rsid w:val="42247D62"/>
    <w:rsid w:val="422B1756"/>
    <w:rsid w:val="426F6BFE"/>
    <w:rsid w:val="428D00BE"/>
    <w:rsid w:val="42970931"/>
    <w:rsid w:val="42CC3156"/>
    <w:rsid w:val="42D33049"/>
    <w:rsid w:val="42D7219B"/>
    <w:rsid w:val="43140575"/>
    <w:rsid w:val="432D1637"/>
    <w:rsid w:val="436E44C7"/>
    <w:rsid w:val="437354CD"/>
    <w:rsid w:val="43BD506E"/>
    <w:rsid w:val="43C57AC2"/>
    <w:rsid w:val="43CE09E5"/>
    <w:rsid w:val="440A1978"/>
    <w:rsid w:val="440C749E"/>
    <w:rsid w:val="44240FD0"/>
    <w:rsid w:val="442A0162"/>
    <w:rsid w:val="442B6B11"/>
    <w:rsid w:val="44466E54"/>
    <w:rsid w:val="446A6B99"/>
    <w:rsid w:val="44904888"/>
    <w:rsid w:val="44B32648"/>
    <w:rsid w:val="44DC38A8"/>
    <w:rsid w:val="452D0F3B"/>
    <w:rsid w:val="4550785F"/>
    <w:rsid w:val="45586FEE"/>
    <w:rsid w:val="4593427F"/>
    <w:rsid w:val="45DD2A64"/>
    <w:rsid w:val="46153C9C"/>
    <w:rsid w:val="46654738"/>
    <w:rsid w:val="46835E89"/>
    <w:rsid w:val="46E15D4A"/>
    <w:rsid w:val="46F25B86"/>
    <w:rsid w:val="47176886"/>
    <w:rsid w:val="474565F0"/>
    <w:rsid w:val="47C60B7F"/>
    <w:rsid w:val="47DE746F"/>
    <w:rsid w:val="481903DC"/>
    <w:rsid w:val="4835572E"/>
    <w:rsid w:val="484C0059"/>
    <w:rsid w:val="486056EC"/>
    <w:rsid w:val="4867734D"/>
    <w:rsid w:val="486976F9"/>
    <w:rsid w:val="48A65FBC"/>
    <w:rsid w:val="48B8386A"/>
    <w:rsid w:val="4904287A"/>
    <w:rsid w:val="49145C19"/>
    <w:rsid w:val="49401C06"/>
    <w:rsid w:val="49691876"/>
    <w:rsid w:val="49861AA1"/>
    <w:rsid w:val="49F04E64"/>
    <w:rsid w:val="49F7299F"/>
    <w:rsid w:val="4A02381D"/>
    <w:rsid w:val="4A3A4FE1"/>
    <w:rsid w:val="4A482E7C"/>
    <w:rsid w:val="4A6C06D2"/>
    <w:rsid w:val="4A9D7A29"/>
    <w:rsid w:val="4AB97C54"/>
    <w:rsid w:val="4ABD3DD2"/>
    <w:rsid w:val="4ADB7BCB"/>
    <w:rsid w:val="4BD4099F"/>
    <w:rsid w:val="4C091DE0"/>
    <w:rsid w:val="4C150FF1"/>
    <w:rsid w:val="4C477BA1"/>
    <w:rsid w:val="4C6F72DE"/>
    <w:rsid w:val="4C7005B3"/>
    <w:rsid w:val="4C826A43"/>
    <w:rsid w:val="4CA77240"/>
    <w:rsid w:val="4CB15087"/>
    <w:rsid w:val="4CD15729"/>
    <w:rsid w:val="4D386F9E"/>
    <w:rsid w:val="4D3A507C"/>
    <w:rsid w:val="4D404159"/>
    <w:rsid w:val="4D740FD0"/>
    <w:rsid w:val="4DC36A97"/>
    <w:rsid w:val="4DE94B51"/>
    <w:rsid w:val="4DF0398D"/>
    <w:rsid w:val="4E231932"/>
    <w:rsid w:val="4E537A89"/>
    <w:rsid w:val="4E6525CD"/>
    <w:rsid w:val="4E6C0ECF"/>
    <w:rsid w:val="4E923B16"/>
    <w:rsid w:val="4EDB6CEA"/>
    <w:rsid w:val="4EE17B4A"/>
    <w:rsid w:val="4F1651D4"/>
    <w:rsid w:val="4F1F7974"/>
    <w:rsid w:val="4F7836C3"/>
    <w:rsid w:val="4F87048E"/>
    <w:rsid w:val="4FA00E1F"/>
    <w:rsid w:val="4FB93BBD"/>
    <w:rsid w:val="4FEA0C93"/>
    <w:rsid w:val="500B0F52"/>
    <w:rsid w:val="502B704B"/>
    <w:rsid w:val="502D7573"/>
    <w:rsid w:val="506D479C"/>
    <w:rsid w:val="50BA569B"/>
    <w:rsid w:val="50D104AF"/>
    <w:rsid w:val="50D37B2C"/>
    <w:rsid w:val="50E51B0F"/>
    <w:rsid w:val="511D718F"/>
    <w:rsid w:val="51457672"/>
    <w:rsid w:val="51475EAF"/>
    <w:rsid w:val="51492739"/>
    <w:rsid w:val="51542485"/>
    <w:rsid w:val="51876D0D"/>
    <w:rsid w:val="51B748EB"/>
    <w:rsid w:val="51BE47EE"/>
    <w:rsid w:val="51D21EDC"/>
    <w:rsid w:val="520714D3"/>
    <w:rsid w:val="5212075F"/>
    <w:rsid w:val="52137701"/>
    <w:rsid w:val="52283C91"/>
    <w:rsid w:val="525C10C0"/>
    <w:rsid w:val="52695BD1"/>
    <w:rsid w:val="527722C9"/>
    <w:rsid w:val="52A341A2"/>
    <w:rsid w:val="52B91A1A"/>
    <w:rsid w:val="52DE294E"/>
    <w:rsid w:val="531D5B9A"/>
    <w:rsid w:val="534666F3"/>
    <w:rsid w:val="53877FA0"/>
    <w:rsid w:val="53CB6F73"/>
    <w:rsid w:val="53ED67EE"/>
    <w:rsid w:val="54177ADD"/>
    <w:rsid w:val="543C16DA"/>
    <w:rsid w:val="54603713"/>
    <w:rsid w:val="54873177"/>
    <w:rsid w:val="54B73EEF"/>
    <w:rsid w:val="54CA23CA"/>
    <w:rsid w:val="54E3424B"/>
    <w:rsid w:val="5512278F"/>
    <w:rsid w:val="552C23A8"/>
    <w:rsid w:val="556D17D2"/>
    <w:rsid w:val="558275C0"/>
    <w:rsid w:val="55BF140B"/>
    <w:rsid w:val="55C220B3"/>
    <w:rsid w:val="560577E5"/>
    <w:rsid w:val="560E5F86"/>
    <w:rsid w:val="562F1EE4"/>
    <w:rsid w:val="565662F9"/>
    <w:rsid w:val="56B075A1"/>
    <w:rsid w:val="5714693E"/>
    <w:rsid w:val="576378C6"/>
    <w:rsid w:val="57AC6B77"/>
    <w:rsid w:val="57B1113E"/>
    <w:rsid w:val="57C9597B"/>
    <w:rsid w:val="57CF2865"/>
    <w:rsid w:val="57E63A60"/>
    <w:rsid w:val="5840501E"/>
    <w:rsid w:val="58412ED9"/>
    <w:rsid w:val="586D7F62"/>
    <w:rsid w:val="58816255"/>
    <w:rsid w:val="589A1BD4"/>
    <w:rsid w:val="589D548F"/>
    <w:rsid w:val="58D520FD"/>
    <w:rsid w:val="58E44CE6"/>
    <w:rsid w:val="59332013"/>
    <w:rsid w:val="59377A2C"/>
    <w:rsid w:val="593A3D77"/>
    <w:rsid w:val="59944773"/>
    <w:rsid w:val="59CE6576"/>
    <w:rsid w:val="59E20F76"/>
    <w:rsid w:val="5A2E2F8A"/>
    <w:rsid w:val="5A4A0364"/>
    <w:rsid w:val="5A581238"/>
    <w:rsid w:val="5A7876F2"/>
    <w:rsid w:val="5A9E5472"/>
    <w:rsid w:val="5AA1039A"/>
    <w:rsid w:val="5AA4447D"/>
    <w:rsid w:val="5AE65370"/>
    <w:rsid w:val="5AF54CD9"/>
    <w:rsid w:val="5B2061CA"/>
    <w:rsid w:val="5B656328"/>
    <w:rsid w:val="5BF8281F"/>
    <w:rsid w:val="5C0C66EA"/>
    <w:rsid w:val="5C3E4E5B"/>
    <w:rsid w:val="5C644B60"/>
    <w:rsid w:val="5C7B2F2F"/>
    <w:rsid w:val="5CAE2911"/>
    <w:rsid w:val="5CD32DF8"/>
    <w:rsid w:val="5CF01637"/>
    <w:rsid w:val="5D5E4DB7"/>
    <w:rsid w:val="5E1F1152"/>
    <w:rsid w:val="5E83726F"/>
    <w:rsid w:val="5E972184"/>
    <w:rsid w:val="5EA031AD"/>
    <w:rsid w:val="5EB930D0"/>
    <w:rsid w:val="5ED6165A"/>
    <w:rsid w:val="5F011E9E"/>
    <w:rsid w:val="5F5226F9"/>
    <w:rsid w:val="5F943DAC"/>
    <w:rsid w:val="5FBE7D8F"/>
    <w:rsid w:val="601B5337"/>
    <w:rsid w:val="601D78EB"/>
    <w:rsid w:val="603858EB"/>
    <w:rsid w:val="60392093"/>
    <w:rsid w:val="604B754F"/>
    <w:rsid w:val="60A61EA4"/>
    <w:rsid w:val="60B92E16"/>
    <w:rsid w:val="60BD3F48"/>
    <w:rsid w:val="60F021CA"/>
    <w:rsid w:val="613A7EFF"/>
    <w:rsid w:val="615722CF"/>
    <w:rsid w:val="616458EE"/>
    <w:rsid w:val="61A02952"/>
    <w:rsid w:val="61B6561E"/>
    <w:rsid w:val="61DA2F01"/>
    <w:rsid w:val="61EB0BE3"/>
    <w:rsid w:val="62001A55"/>
    <w:rsid w:val="62104EDF"/>
    <w:rsid w:val="62177AAE"/>
    <w:rsid w:val="621F7D06"/>
    <w:rsid w:val="63051831"/>
    <w:rsid w:val="630E7323"/>
    <w:rsid w:val="63176C5C"/>
    <w:rsid w:val="63332CE2"/>
    <w:rsid w:val="636429FB"/>
    <w:rsid w:val="639F6AFA"/>
    <w:rsid w:val="63AD5698"/>
    <w:rsid w:val="63C24959"/>
    <w:rsid w:val="63D86F45"/>
    <w:rsid w:val="63E27181"/>
    <w:rsid w:val="63FD10FD"/>
    <w:rsid w:val="64291E57"/>
    <w:rsid w:val="646E524A"/>
    <w:rsid w:val="64862FB7"/>
    <w:rsid w:val="64964297"/>
    <w:rsid w:val="64B672AC"/>
    <w:rsid w:val="64EF49BB"/>
    <w:rsid w:val="650C6D95"/>
    <w:rsid w:val="656A5B69"/>
    <w:rsid w:val="65796E25"/>
    <w:rsid w:val="657D3011"/>
    <w:rsid w:val="65F934A5"/>
    <w:rsid w:val="660504A2"/>
    <w:rsid w:val="660E5B28"/>
    <w:rsid w:val="661425F8"/>
    <w:rsid w:val="6671766D"/>
    <w:rsid w:val="669525C8"/>
    <w:rsid w:val="66F66DDC"/>
    <w:rsid w:val="67276465"/>
    <w:rsid w:val="67535132"/>
    <w:rsid w:val="67AF6668"/>
    <w:rsid w:val="67D41956"/>
    <w:rsid w:val="67DA1D94"/>
    <w:rsid w:val="680C6802"/>
    <w:rsid w:val="685632A9"/>
    <w:rsid w:val="68810EF0"/>
    <w:rsid w:val="68853107"/>
    <w:rsid w:val="68D535F6"/>
    <w:rsid w:val="68EB3277"/>
    <w:rsid w:val="68F87F45"/>
    <w:rsid w:val="695C3CC9"/>
    <w:rsid w:val="69A159F8"/>
    <w:rsid w:val="6A462169"/>
    <w:rsid w:val="6A67636C"/>
    <w:rsid w:val="6A8F4A93"/>
    <w:rsid w:val="6AB37D1A"/>
    <w:rsid w:val="6AC97948"/>
    <w:rsid w:val="6B0E100A"/>
    <w:rsid w:val="6B5557EE"/>
    <w:rsid w:val="6BC44710"/>
    <w:rsid w:val="6BF743D9"/>
    <w:rsid w:val="6C0321DC"/>
    <w:rsid w:val="6C213774"/>
    <w:rsid w:val="6C2F759D"/>
    <w:rsid w:val="6C6B4DE1"/>
    <w:rsid w:val="6C752030"/>
    <w:rsid w:val="6C7A503E"/>
    <w:rsid w:val="6D2569A2"/>
    <w:rsid w:val="6D7D29C3"/>
    <w:rsid w:val="6D997F03"/>
    <w:rsid w:val="6DC913A6"/>
    <w:rsid w:val="6DF826B2"/>
    <w:rsid w:val="6E1C1176"/>
    <w:rsid w:val="6E3A2E0B"/>
    <w:rsid w:val="6E7D4C56"/>
    <w:rsid w:val="6E9F0D8B"/>
    <w:rsid w:val="6EDC0609"/>
    <w:rsid w:val="6F0D1396"/>
    <w:rsid w:val="6F236DB5"/>
    <w:rsid w:val="6F27715F"/>
    <w:rsid w:val="6F283C13"/>
    <w:rsid w:val="6F2D53C1"/>
    <w:rsid w:val="6F8D0621"/>
    <w:rsid w:val="6F9837E4"/>
    <w:rsid w:val="6FA67EF8"/>
    <w:rsid w:val="6FE733CE"/>
    <w:rsid w:val="70012A00"/>
    <w:rsid w:val="70391BEC"/>
    <w:rsid w:val="70415F84"/>
    <w:rsid w:val="7045540C"/>
    <w:rsid w:val="70664847"/>
    <w:rsid w:val="70C55C66"/>
    <w:rsid w:val="70F422BB"/>
    <w:rsid w:val="70FA674D"/>
    <w:rsid w:val="71176C78"/>
    <w:rsid w:val="7137592F"/>
    <w:rsid w:val="71501BAC"/>
    <w:rsid w:val="715851D8"/>
    <w:rsid w:val="7192008A"/>
    <w:rsid w:val="719F5DE3"/>
    <w:rsid w:val="71A577F5"/>
    <w:rsid w:val="71CC02F7"/>
    <w:rsid w:val="71F87130"/>
    <w:rsid w:val="7229553C"/>
    <w:rsid w:val="7273760E"/>
    <w:rsid w:val="735C6F33"/>
    <w:rsid w:val="73EF6311"/>
    <w:rsid w:val="74175CDA"/>
    <w:rsid w:val="747C15ED"/>
    <w:rsid w:val="74945FCF"/>
    <w:rsid w:val="749626D9"/>
    <w:rsid w:val="74A72DE4"/>
    <w:rsid w:val="74D36D87"/>
    <w:rsid w:val="74EA4E8A"/>
    <w:rsid w:val="75644ADD"/>
    <w:rsid w:val="75C030E5"/>
    <w:rsid w:val="760828FA"/>
    <w:rsid w:val="760B3389"/>
    <w:rsid w:val="765D586A"/>
    <w:rsid w:val="76796366"/>
    <w:rsid w:val="769D3E02"/>
    <w:rsid w:val="76A900F9"/>
    <w:rsid w:val="76C060D9"/>
    <w:rsid w:val="771C4AD7"/>
    <w:rsid w:val="77662668"/>
    <w:rsid w:val="77893F0F"/>
    <w:rsid w:val="77A17922"/>
    <w:rsid w:val="77F008AA"/>
    <w:rsid w:val="7838512A"/>
    <w:rsid w:val="7866291A"/>
    <w:rsid w:val="786D4FC8"/>
    <w:rsid w:val="78A93632"/>
    <w:rsid w:val="78BC22F9"/>
    <w:rsid w:val="78DB26C6"/>
    <w:rsid w:val="79523A81"/>
    <w:rsid w:val="79733540"/>
    <w:rsid w:val="79BA718C"/>
    <w:rsid w:val="79E34305"/>
    <w:rsid w:val="79E678D8"/>
    <w:rsid w:val="79F301DD"/>
    <w:rsid w:val="79FC52E4"/>
    <w:rsid w:val="7A091FC6"/>
    <w:rsid w:val="7A3525A4"/>
    <w:rsid w:val="7A3B0F75"/>
    <w:rsid w:val="7A576D9B"/>
    <w:rsid w:val="7A844AD1"/>
    <w:rsid w:val="7A9B19C7"/>
    <w:rsid w:val="7AD063E7"/>
    <w:rsid w:val="7AE13D5A"/>
    <w:rsid w:val="7AEE130D"/>
    <w:rsid w:val="7AFA17EA"/>
    <w:rsid w:val="7B3D5BB4"/>
    <w:rsid w:val="7B533D87"/>
    <w:rsid w:val="7B845591"/>
    <w:rsid w:val="7B9D2AF7"/>
    <w:rsid w:val="7BA13D41"/>
    <w:rsid w:val="7C572CA5"/>
    <w:rsid w:val="7C775D5B"/>
    <w:rsid w:val="7C91398A"/>
    <w:rsid w:val="7C9F0D27"/>
    <w:rsid w:val="7CD11DE5"/>
    <w:rsid w:val="7D2F2524"/>
    <w:rsid w:val="7D460932"/>
    <w:rsid w:val="7DA41B09"/>
    <w:rsid w:val="7DA43CC8"/>
    <w:rsid w:val="7DA77C5D"/>
    <w:rsid w:val="7DC4436B"/>
    <w:rsid w:val="7DD347CB"/>
    <w:rsid w:val="7E053094"/>
    <w:rsid w:val="7E3F3D02"/>
    <w:rsid w:val="7E48583E"/>
    <w:rsid w:val="7F176A00"/>
    <w:rsid w:val="7F22781B"/>
    <w:rsid w:val="7F2F1CB8"/>
    <w:rsid w:val="7F3D52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Calibri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  <w:lang w:val="en-US" w:eastAsia="en-US" w:bidi="ar-SA"/>
    </w:rPr>
  </w:style>
  <w:style w:type="paragraph" w:styleId="4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locked/>
    <w:uiPriority w:val="22"/>
    <w:rPr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customStyle="1" w:styleId="12">
    <w:name w:val="页脚 Char"/>
    <w:basedOn w:val="9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眉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9"/>
    <w:link w:val="4"/>
    <w:semiHidden/>
    <w:qFormat/>
    <w:locked/>
    <w:uiPriority w:val="99"/>
    <w:rPr>
      <w:rFonts w:eastAsia="仿宋_GB2312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8ba482cb-69bf-452b-b84e-bc61932d9ecb</errorID>
      <errorWord>党的二十大以及二十届历次全会精神</errorWord>
      <group>L1_Political</group>
      <groupName>政治性问题</groupName>
      <ability>L2_Keyword</ability>
      <abilityName>固定表述</abilityName>
      <candidateList>
        <item>党的二十大和二十届历次全会精神</item>
      </candidateList>
      <explain>词汇“党的二十大和二十届历次全会精神”在特定场景下为固定表述形式，请确认此处的“党的二十大以及二十届历次全会精神”是否存在不当。</explain>
      <paraID> 5E8DF68</paraID>
      <start>45</start>
      <end>60</end>
      <status>modified</status>
      <modifiedWord>党的二十大和二十届历次全会精神</modifiedWord>
      <trackRevisions>false</trackRevisions>
    </reviewItem>
    <reviewItem>
      <errorID>43b49af3-a480-4a9e-b097-50c6799951a7</errorID>
      <errorWord>不发生系统性财政风险的底线</errorWord>
      <group>L1_Political</group>
      <groupName>政治性问题</groupName>
      <ability>L2_Keyword</ability>
      <abilityName>固定表述</abilityName>
      <candidateList>
        <item>不发生系统性金融风险的底线</item>
      </candidateList>
      <explain>词汇“不发生系统性金融风险的底线”在特定场景下为固定表述形式，请确认此处的“不发生系统性财政风险的底线”是否存在不当。</explain>
      <paraID> FEC503C</paraID>
      <start>520</start>
      <end>533</end>
      <status>unmodified</status>
      <modifiedWord/>
      <trackRevisions>false</trackRevisions>
    </reviewItem>
    <reviewItem>
      <errorID>20dd4500-10d2-4197-a65d-3944d3ec9ea7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5901EA1E</paraID>
      <start>126</start>
      <end>128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751276-9a0e-4612-8270-4582fe42ba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18</Pages>
  <Words>9350</Words>
  <Characters>10403</Characters>
  <Lines>10</Lines>
  <Paragraphs>17</Paragraphs>
  <TotalTime>354</TotalTime>
  <ScaleCrop>false</ScaleCrop>
  <LinksUpToDate>false</LinksUpToDate>
  <CharactersWithSpaces>10435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2020-12-28T06:33:00Z</dcterms:created>
  <dc:creator>zjc</dc:creator>
  <cp:lastModifiedBy>SUNLEI</cp:lastModifiedBy>
  <cp:lastPrinted>2025-12-17T01:02:00Z</cp:lastPrinted>
  <dcterms:modified xsi:type="dcterms:W3CDTF">2026-04-16T08:22:46Z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E429C504652B4FC5B73095E301668E1D_13</vt:lpwstr>
  </property>
  <property fmtid="{D5CDD505-2E9C-101B-9397-08002B2CF9AE}" pid="4" name="KSOTemplateDocerSaveRecord">
    <vt:lpwstr>eyJoZGlkIjoiZmIwNDAzMjI2MzRkZGMxMDc5MTdiMGQ4ZTg5OTVlNTciLCJ1c2VySWQiOiIzMzQyMDIzODQifQ==</vt:lpwstr>
  </property>
</Properties>
</file>